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9DB06">
      <w:pPr>
        <w:jc w:val="center"/>
        <w:rPr>
          <w:rFonts w:hint="eastAsia" w:eastAsia="仿宋" w:cs="仿宋"/>
          <w:b/>
          <w:bCs/>
          <w:sz w:val="36"/>
          <w:szCs w:val="36"/>
          <w:lang w:val="en-US" w:eastAsia="zh-CN"/>
        </w:rPr>
      </w:pPr>
      <w:r>
        <w:rPr>
          <w:rFonts w:hint="eastAsia" w:eastAsia="仿宋" w:cs="仿宋"/>
          <w:b/>
          <w:bCs/>
          <w:sz w:val="36"/>
          <w:szCs w:val="36"/>
        </w:rPr>
        <w:t>广西国际壮医医院智慧中药房</w:t>
      </w:r>
      <w:r>
        <w:rPr>
          <w:rFonts w:hint="eastAsia" w:eastAsia="仿宋" w:cs="仿宋"/>
          <w:b/>
          <w:bCs/>
          <w:sz w:val="36"/>
          <w:szCs w:val="36"/>
          <w:lang w:val="en-US" w:eastAsia="zh-CN"/>
        </w:rPr>
        <w:t>报价单</w:t>
      </w:r>
    </w:p>
    <w:tbl>
      <w:tblPr>
        <w:tblStyle w:val="3"/>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632"/>
        <w:gridCol w:w="622"/>
        <w:gridCol w:w="607"/>
        <w:gridCol w:w="10770"/>
        <w:gridCol w:w="861"/>
        <w:gridCol w:w="626"/>
        <w:gridCol w:w="765"/>
      </w:tblGrid>
      <w:tr w14:paraId="422F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 w:type="pct"/>
            <w:shd w:val="clear" w:color="000000" w:fill="FFFFFF"/>
            <w:vAlign w:val="center"/>
          </w:tcPr>
          <w:p w14:paraId="260C102F">
            <w:pPr>
              <w:widowControl/>
              <w:spacing w:line="240" w:lineRule="auto"/>
              <w:ind w:firstLine="0" w:firstLineChars="0"/>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序号</w:t>
            </w:r>
          </w:p>
        </w:tc>
        <w:tc>
          <w:tcPr>
            <w:tcW w:w="204" w:type="pct"/>
            <w:shd w:val="clear" w:color="000000" w:fill="FFFFFF"/>
            <w:vAlign w:val="center"/>
          </w:tcPr>
          <w:p w14:paraId="37D5B09B">
            <w:pPr>
              <w:widowControl/>
              <w:spacing w:line="240" w:lineRule="auto"/>
              <w:ind w:firstLine="0" w:firstLineChars="0"/>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名称</w:t>
            </w:r>
          </w:p>
        </w:tc>
        <w:tc>
          <w:tcPr>
            <w:tcW w:w="201" w:type="pct"/>
            <w:shd w:val="clear" w:color="000000" w:fill="FFFFFF"/>
            <w:vAlign w:val="center"/>
          </w:tcPr>
          <w:p w14:paraId="1BE4FE1E">
            <w:pPr>
              <w:widowControl/>
              <w:spacing w:line="240" w:lineRule="auto"/>
              <w:ind w:firstLine="0" w:firstLineChars="0"/>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模块</w:t>
            </w:r>
          </w:p>
        </w:tc>
        <w:tc>
          <w:tcPr>
            <w:tcW w:w="196" w:type="pct"/>
            <w:shd w:val="clear" w:color="000000" w:fill="FFFFFF"/>
            <w:vAlign w:val="center"/>
          </w:tcPr>
          <w:p w14:paraId="3AF591ED">
            <w:pPr>
              <w:widowControl/>
              <w:spacing w:line="240" w:lineRule="auto"/>
              <w:ind w:firstLine="0" w:firstLineChars="0"/>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数量</w:t>
            </w:r>
          </w:p>
        </w:tc>
        <w:tc>
          <w:tcPr>
            <w:tcW w:w="3478" w:type="pct"/>
            <w:shd w:val="clear" w:color="000000" w:fill="FFFFFF"/>
            <w:vAlign w:val="center"/>
          </w:tcPr>
          <w:p w14:paraId="6DD9FCF6">
            <w:pPr>
              <w:widowControl/>
              <w:spacing w:line="240" w:lineRule="auto"/>
              <w:ind w:firstLine="0" w:firstLineChars="0"/>
              <w:jc w:val="center"/>
              <w:rPr>
                <w:rFonts w:hint="eastAsia" w:asciiTheme="minorEastAsia" w:hAnsiTheme="minorEastAsia" w:eastAsiaTheme="minorEastAsia" w:cstheme="minorEastAsia"/>
                <w:b/>
                <w:bCs/>
                <w:color w:val="000000"/>
                <w:kern w:val="0"/>
                <w:sz w:val="18"/>
                <w:szCs w:val="18"/>
                <w:lang w:eastAsia="zh-CN"/>
              </w:rPr>
            </w:pPr>
            <w:r>
              <w:rPr>
                <w:rFonts w:hint="eastAsia" w:asciiTheme="minorEastAsia" w:hAnsiTheme="minorEastAsia" w:eastAsiaTheme="minorEastAsia" w:cstheme="minorEastAsia"/>
                <w:b/>
                <w:bCs/>
                <w:color w:val="000000"/>
                <w:kern w:val="0"/>
                <w:sz w:val="18"/>
                <w:szCs w:val="18"/>
                <w:lang w:val="en-US" w:eastAsia="zh-CN"/>
              </w:rPr>
              <w:t>模块参数</w:t>
            </w:r>
          </w:p>
        </w:tc>
        <w:tc>
          <w:tcPr>
            <w:tcW w:w="278" w:type="pct"/>
            <w:shd w:val="clear" w:color="000000" w:fill="FFFFFF"/>
            <w:vAlign w:val="center"/>
          </w:tcPr>
          <w:p w14:paraId="5ECA6AC4">
            <w:pPr>
              <w:widowControl/>
              <w:spacing w:line="240" w:lineRule="auto"/>
              <w:ind w:firstLine="0" w:firstLineChars="0"/>
              <w:jc w:val="center"/>
              <w:rPr>
                <w:rFonts w:hint="default" w:asciiTheme="minorEastAsia" w:hAnsiTheme="minorEastAsia" w:eastAsiaTheme="minorEastAsia" w:cstheme="minorEastAsia"/>
                <w:b/>
                <w:bCs/>
                <w:color w:val="000000"/>
                <w:kern w:val="0"/>
                <w:sz w:val="18"/>
                <w:szCs w:val="18"/>
                <w:lang w:val="en-US" w:eastAsia="zh-CN"/>
              </w:rPr>
            </w:pPr>
            <w:r>
              <w:rPr>
                <w:rFonts w:hint="eastAsia" w:asciiTheme="minorEastAsia" w:hAnsiTheme="minorEastAsia" w:cstheme="minorEastAsia"/>
                <w:b/>
                <w:bCs/>
                <w:color w:val="000000"/>
                <w:kern w:val="0"/>
                <w:sz w:val="18"/>
                <w:szCs w:val="18"/>
                <w:lang w:val="en-US" w:eastAsia="zh-CN"/>
              </w:rPr>
              <w:t>参数是否有偏移</w:t>
            </w:r>
          </w:p>
        </w:tc>
        <w:tc>
          <w:tcPr>
            <w:tcW w:w="202" w:type="pct"/>
            <w:shd w:val="clear" w:color="000000" w:fill="FFFFFF"/>
            <w:vAlign w:val="center"/>
          </w:tcPr>
          <w:p w14:paraId="0F14D608">
            <w:pPr>
              <w:widowControl/>
              <w:spacing w:line="240" w:lineRule="auto"/>
              <w:ind w:firstLine="0" w:firstLineChars="0"/>
              <w:jc w:val="center"/>
              <w:rPr>
                <w:rFonts w:hint="eastAsia" w:asciiTheme="minorEastAsia" w:hAnsiTheme="minorEastAsia" w:cstheme="minorEastAsia"/>
                <w:b/>
                <w:bCs/>
                <w:color w:val="000000"/>
                <w:kern w:val="0"/>
                <w:sz w:val="18"/>
                <w:szCs w:val="18"/>
                <w:lang w:val="en-US" w:eastAsia="zh-CN"/>
              </w:rPr>
            </w:pPr>
            <w:r>
              <w:rPr>
                <w:rFonts w:hint="eastAsia" w:asciiTheme="minorEastAsia" w:hAnsiTheme="minorEastAsia" w:cstheme="minorEastAsia"/>
                <w:b/>
                <w:bCs/>
                <w:color w:val="000000"/>
                <w:kern w:val="0"/>
                <w:sz w:val="18"/>
                <w:szCs w:val="18"/>
                <w:lang w:val="en-US" w:eastAsia="zh-CN"/>
              </w:rPr>
              <w:t>单价</w:t>
            </w:r>
          </w:p>
          <w:p w14:paraId="5E725CEC">
            <w:pPr>
              <w:widowControl/>
              <w:spacing w:line="240" w:lineRule="auto"/>
              <w:ind w:firstLine="0" w:firstLineChars="0"/>
              <w:jc w:val="center"/>
              <w:rPr>
                <w:rFonts w:hint="default" w:asciiTheme="minorEastAsia" w:hAnsiTheme="minorEastAsia" w:cstheme="minorEastAsia"/>
                <w:b/>
                <w:bCs/>
                <w:color w:val="000000"/>
                <w:kern w:val="0"/>
                <w:sz w:val="18"/>
                <w:szCs w:val="18"/>
                <w:lang w:val="en-US" w:eastAsia="zh-CN"/>
              </w:rPr>
            </w:pPr>
            <w:r>
              <w:rPr>
                <w:rFonts w:hint="eastAsia" w:asciiTheme="minorEastAsia" w:hAnsiTheme="minorEastAsia" w:cstheme="minorEastAsia"/>
                <w:b/>
                <w:bCs/>
                <w:color w:val="000000"/>
                <w:kern w:val="0"/>
                <w:sz w:val="18"/>
                <w:szCs w:val="18"/>
                <w:lang w:val="en-US" w:eastAsia="zh-CN"/>
              </w:rPr>
              <w:t>（万元）</w:t>
            </w:r>
          </w:p>
        </w:tc>
        <w:tc>
          <w:tcPr>
            <w:tcW w:w="246" w:type="pct"/>
            <w:shd w:val="clear" w:color="000000" w:fill="FFFFFF"/>
            <w:vAlign w:val="center"/>
          </w:tcPr>
          <w:p w14:paraId="4DE5BFF1">
            <w:pPr>
              <w:widowControl/>
              <w:spacing w:line="240" w:lineRule="auto"/>
              <w:ind w:firstLine="0" w:firstLineChars="0"/>
              <w:jc w:val="center"/>
              <w:rPr>
                <w:rFonts w:hint="default" w:asciiTheme="minorEastAsia" w:hAnsiTheme="minorEastAsia" w:eastAsiaTheme="minorEastAsia" w:cstheme="minorEastAsia"/>
                <w:b/>
                <w:bCs/>
                <w:color w:val="000000"/>
                <w:kern w:val="0"/>
                <w:sz w:val="18"/>
                <w:szCs w:val="18"/>
                <w:lang w:val="en-US" w:eastAsia="zh-CN"/>
              </w:rPr>
            </w:pPr>
            <w:r>
              <w:rPr>
                <w:rFonts w:hint="eastAsia" w:asciiTheme="minorEastAsia" w:hAnsiTheme="minorEastAsia" w:cstheme="minorEastAsia"/>
                <w:b/>
                <w:bCs/>
                <w:color w:val="000000"/>
                <w:kern w:val="0"/>
                <w:sz w:val="18"/>
                <w:szCs w:val="18"/>
                <w:lang w:val="en-US" w:eastAsia="zh-CN"/>
              </w:rPr>
              <w:t>总价（万元）</w:t>
            </w:r>
          </w:p>
        </w:tc>
      </w:tr>
      <w:tr w14:paraId="57DC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 w:type="pct"/>
            <w:shd w:val="clear" w:color="000000" w:fill="FFFFFF"/>
            <w:vAlign w:val="center"/>
          </w:tcPr>
          <w:p w14:paraId="3509B8A1">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632" w:type="dxa"/>
            <w:vMerge w:val="restart"/>
            <w:shd w:val="clear" w:color="000000" w:fill="FFFFFF"/>
            <w:vAlign w:val="center"/>
          </w:tcPr>
          <w:p w14:paraId="50FCC896">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智慧中药房</w:t>
            </w:r>
          </w:p>
        </w:tc>
        <w:tc>
          <w:tcPr>
            <w:tcW w:w="622" w:type="dxa"/>
            <w:shd w:val="clear" w:color="000000" w:fill="FFFFFF"/>
            <w:vAlign w:val="center"/>
          </w:tcPr>
          <w:p w14:paraId="0CA80301">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区域共享中药库房管理</w:t>
            </w:r>
          </w:p>
        </w:tc>
        <w:tc>
          <w:tcPr>
            <w:tcW w:w="607" w:type="dxa"/>
            <w:shd w:val="clear" w:color="000000" w:fill="FFFFFF"/>
            <w:vAlign w:val="center"/>
          </w:tcPr>
          <w:p w14:paraId="2487EF0B">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1</w:t>
            </w:r>
          </w:p>
        </w:tc>
        <w:tc>
          <w:tcPr>
            <w:tcW w:w="10770" w:type="dxa"/>
            <w:shd w:val="clear" w:color="000000" w:fill="FFFFFF"/>
            <w:vAlign w:val="center"/>
          </w:tcPr>
          <w:p w14:paraId="404333F9">
            <w:pPr>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1共享中药房药品库房流程管理</w:t>
            </w:r>
          </w:p>
          <w:p w14:paraId="679A40E4">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支持采购计划单管理，支持采购计划制单记账，可根据供货单位、中药类型等进行批量导入，支持采购计划单的导出和打印。</w:t>
            </w:r>
          </w:p>
          <w:p w14:paraId="6422840B">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支持质量验收，支持对到货的药品进行质量验收，支持质量验收单导出和打印。</w:t>
            </w:r>
          </w:p>
          <w:p w14:paraId="2619801E">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支持采购入库、请领入库、其它入库等各种药品入库管理。</w:t>
            </w:r>
          </w:p>
          <w:p w14:paraId="7FEFA822">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支持调拨出库、退还供应商出库、其它出库等各种出库管理。</w:t>
            </w:r>
          </w:p>
          <w:p w14:paraId="0B131F02">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支持下级机构发起请领药品，上级机构受理请领药品。</w:t>
            </w:r>
          </w:p>
          <w:p w14:paraId="708C666E">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支持按照药房窗口进行药品盘存，生成窗口盘存单。并且可将手所有的窗口盘存进行汇总，生成汇总盘存单。</w:t>
            </w:r>
          </w:p>
          <w:p w14:paraId="3C364DCC">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支持结转配置，可设置不同的结转日期，如每月指定日期、每月最后一天、手动结转、盘存后结转等；支持按药房进行药品库存的结转，记录每次结转日志，并可查询每次结转的药品库存明细。</w:t>
            </w:r>
          </w:p>
          <w:p w14:paraId="04D3519E">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可对药品进行报损处理，对报损的库存数量进行库存的扣减。</w:t>
            </w:r>
          </w:p>
          <w:p w14:paraId="61B34D55">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支持设置药品库存的上下限，可实时查看超库存上下限范围的药品清单。</w:t>
            </w:r>
          </w:p>
          <w:p w14:paraId="4FF957D7">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支持配方/膏方的库存维护，可维护配方和膏方的原料，并自动统计配方膏方的零售价，系统可自动将配方/膏方添加到药品目录。</w:t>
            </w:r>
          </w:p>
          <w:p w14:paraId="6176EAB7">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支持所有药品的库存查询，支持通过药品名称、药品分类、中药类型、毒理分类、价值分类进行检索；支持根据药品名称、库存数量、药品根茎叶分类进行排序。</w:t>
            </w:r>
          </w:p>
          <w:p w14:paraId="50AAFB34">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支持供货商应付款管理，支持供货商发票管理、资金结算；支持打印应付款汇总清单。</w:t>
            </w:r>
          </w:p>
          <w:p w14:paraId="58CFED8A">
            <w:pPr>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2共享中药房特殊药品管理</w:t>
            </w:r>
          </w:p>
          <w:p w14:paraId="30EEC83B">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支持贵重药品的分类管理，可统计昂贵药品的机构维度发药数据。</w:t>
            </w:r>
          </w:p>
          <w:p w14:paraId="07D07274">
            <w:pPr>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3共享中药房智能储存</w:t>
            </w:r>
          </w:p>
          <w:p w14:paraId="08C63C68">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支持使用PDA对药品进行上架，记录货架号。</w:t>
            </w:r>
          </w:p>
          <w:p w14:paraId="422AAD45">
            <w:pPr>
              <w:spacing w:line="240" w:lineRule="auto"/>
              <w:ind w:firstLine="360" w:firstLineChars="0"/>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sz w:val="18"/>
                <w:szCs w:val="18"/>
              </w:rPr>
              <w:t>支持使用PDA扫码取药，扫码后提示药品所在货架号，实现快速取药。</w:t>
            </w:r>
          </w:p>
        </w:tc>
        <w:tc>
          <w:tcPr>
            <w:tcW w:w="278" w:type="pct"/>
            <w:shd w:val="clear" w:color="000000" w:fill="FFFFFF"/>
            <w:vAlign w:val="center"/>
          </w:tcPr>
          <w:p w14:paraId="070A62F0">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bookmarkStart w:id="0" w:name="_GoBack"/>
            <w:bookmarkEnd w:id="0"/>
          </w:p>
        </w:tc>
        <w:tc>
          <w:tcPr>
            <w:tcW w:w="202" w:type="pct"/>
            <w:shd w:val="clear" w:color="000000" w:fill="FFFFFF"/>
            <w:vAlign w:val="center"/>
          </w:tcPr>
          <w:p w14:paraId="7DB65BD0">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46" w:type="pct"/>
            <w:shd w:val="clear" w:color="000000" w:fill="FFFFFF"/>
            <w:vAlign w:val="center"/>
          </w:tcPr>
          <w:p w14:paraId="3BAE42A5">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r>
      <w:tr w14:paraId="5DFA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 w:type="pct"/>
            <w:shd w:val="clear" w:color="000000" w:fill="FFFFFF"/>
            <w:vAlign w:val="center"/>
          </w:tcPr>
          <w:p w14:paraId="039F8A4C">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32" w:type="dxa"/>
            <w:vMerge w:val="continue"/>
            <w:vAlign w:val="center"/>
          </w:tcPr>
          <w:p w14:paraId="1A89398A">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p>
        </w:tc>
        <w:tc>
          <w:tcPr>
            <w:tcW w:w="622" w:type="dxa"/>
            <w:shd w:val="clear" w:color="000000" w:fill="FFFFFF"/>
            <w:vAlign w:val="center"/>
          </w:tcPr>
          <w:p w14:paraId="1D7111E4">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中药调剂管理</w:t>
            </w:r>
          </w:p>
        </w:tc>
        <w:tc>
          <w:tcPr>
            <w:tcW w:w="607" w:type="dxa"/>
            <w:shd w:val="clear" w:color="000000" w:fill="FFFFFF"/>
            <w:vAlign w:val="center"/>
          </w:tcPr>
          <w:p w14:paraId="15C8187F">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1</w:t>
            </w:r>
          </w:p>
        </w:tc>
        <w:tc>
          <w:tcPr>
            <w:tcW w:w="10770" w:type="dxa"/>
            <w:shd w:val="clear" w:color="000000" w:fill="FFFFFF"/>
            <w:vAlign w:val="center"/>
          </w:tcPr>
          <w:p w14:paraId="56F28578">
            <w:pPr>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1、接方管理</w:t>
            </w:r>
          </w:p>
          <w:p w14:paraId="6E2A2CBE">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支持医疗机构已缴费的处方从His系统流转到共享药房系统。</w:t>
            </w:r>
          </w:p>
          <w:p w14:paraId="1EBFDE32">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支持门诊、住院接方，根据业务要求分发给调剂药房。</w:t>
            </w:r>
          </w:p>
          <w:p w14:paraId="3BC4B9DB">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支持处方登记，登记患者煎药信息、配送信息。</w:t>
            </w:r>
          </w:p>
          <w:p w14:paraId="3252B2FE">
            <w:pPr>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2、发药管理</w:t>
            </w:r>
          </w:p>
          <w:p w14:paraId="63237863">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支持进行窗口发药。</w:t>
            </w:r>
          </w:p>
          <w:p w14:paraId="70FD404F">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支持取消发药。</w:t>
            </w:r>
          </w:p>
          <w:p w14:paraId="60A3D783">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支持设置自动发药，设置后处方将自动发药，无需人工操作。</w:t>
            </w:r>
          </w:p>
          <w:p w14:paraId="2FF96CED">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支持打印处方笺和标签。</w:t>
            </w:r>
          </w:p>
          <w:p w14:paraId="6F58B490">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支持根据医疗机构、门诊/住院、处方号、处方日期、取药方式、发药状态查询处方。</w:t>
            </w:r>
          </w:p>
          <w:p w14:paraId="445FBC9D">
            <w:pPr>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3、物流配送</w:t>
            </w:r>
          </w:p>
          <w:p w14:paraId="381762D7">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支持物流信息对接，已配送的处方可查询物流节点信息。</w:t>
            </w:r>
          </w:p>
          <w:p w14:paraId="0D8514B6">
            <w:pPr>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4、无纸化调剂</w:t>
            </w:r>
          </w:p>
          <w:p w14:paraId="237A2913">
            <w:pPr>
              <w:spacing w:line="240" w:lineRule="auto"/>
              <w:ind w:firstLine="360"/>
              <w:rPr>
                <w:rFonts w:hint="eastAsia" w:ascii="宋体" w:hAnsi="宋体" w:eastAsia="宋体" w:cs="宋体"/>
                <w:color w:val="auto"/>
                <w:sz w:val="18"/>
                <w:szCs w:val="18"/>
              </w:rPr>
            </w:pPr>
            <w:commentRangeStart w:id="0"/>
            <w:r>
              <w:rPr>
                <w:rFonts w:hint="eastAsia" w:ascii="宋体" w:hAnsi="宋体" w:eastAsia="宋体" w:cs="宋体"/>
                <w:color w:val="auto"/>
                <w:sz w:val="18"/>
                <w:szCs w:val="18"/>
              </w:rPr>
              <w:t>处方调剂分配：处方调剂分配支持系统自动分配，也支持手动分配。</w:t>
            </w:r>
          </w:p>
          <w:p w14:paraId="6A372A85">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支持调剂人员使用平板接收处方，实现无纸化调剂；</w:t>
            </w:r>
          </w:p>
          <w:p w14:paraId="7216E4C1">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支持配药人员在平板上设置是否开启智能接方。</w:t>
            </w:r>
            <w:commentRangeEnd w:id="0"/>
            <w:r>
              <w:rPr>
                <w:rStyle w:val="5"/>
                <w:color w:val="auto"/>
              </w:rPr>
              <w:commentReference w:id="0"/>
            </w:r>
          </w:p>
          <w:p w14:paraId="6590F665">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支持处方调剂时绑定调剂台，便于打印标签和处方药品查找。</w:t>
            </w:r>
          </w:p>
          <w:p w14:paraId="2F6EAA01">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支持调剂、复核环节在平板上打印标签。</w:t>
            </w:r>
          </w:p>
          <w:p w14:paraId="17AD928B">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支持对处方进行挂起操作。</w:t>
            </w:r>
          </w:p>
          <w:p w14:paraId="70F8E459">
            <w:pPr>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5、无纸化复核</w:t>
            </w:r>
          </w:p>
          <w:p w14:paraId="0C276FF0">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支持通过扫码的方式进行处方复核。</w:t>
            </w:r>
          </w:p>
          <w:p w14:paraId="4A7CD6DD">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支持复核人员查看所有待复核处方，可按照调剂台的顺序进行复核。</w:t>
            </w:r>
          </w:p>
          <w:p w14:paraId="45866141">
            <w:pPr>
              <w:spacing w:line="240" w:lineRule="auto"/>
              <w:ind w:firstLine="360" w:firstLineChars="0"/>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rPr>
              <w:t>支持在平板上查询历史处方。</w:t>
            </w:r>
          </w:p>
        </w:tc>
        <w:tc>
          <w:tcPr>
            <w:tcW w:w="278" w:type="pct"/>
            <w:shd w:val="clear" w:color="000000" w:fill="FFFFFF"/>
            <w:vAlign w:val="center"/>
          </w:tcPr>
          <w:p w14:paraId="49AB87CF">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02" w:type="pct"/>
            <w:shd w:val="clear" w:color="000000" w:fill="FFFFFF"/>
            <w:vAlign w:val="center"/>
          </w:tcPr>
          <w:p w14:paraId="5F653852">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46" w:type="pct"/>
            <w:shd w:val="clear" w:color="000000" w:fill="FFFFFF"/>
            <w:vAlign w:val="center"/>
          </w:tcPr>
          <w:p w14:paraId="6D25BB90">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r>
      <w:tr w14:paraId="53C8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 w:type="pct"/>
            <w:shd w:val="clear" w:color="000000" w:fill="FFFFFF"/>
            <w:vAlign w:val="center"/>
          </w:tcPr>
          <w:p w14:paraId="332DB3C0">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632" w:type="dxa"/>
            <w:vMerge w:val="continue"/>
            <w:vAlign w:val="center"/>
          </w:tcPr>
          <w:p w14:paraId="7B559E0B">
            <w:pPr>
              <w:widowControl/>
              <w:spacing w:line="240" w:lineRule="auto"/>
              <w:ind w:firstLine="0" w:firstLineChars="0"/>
              <w:jc w:val="left"/>
              <w:rPr>
                <w:rFonts w:hint="eastAsia" w:asciiTheme="minorEastAsia" w:hAnsiTheme="minorEastAsia" w:eastAsiaTheme="minorEastAsia" w:cstheme="minorEastAsia"/>
                <w:color w:val="auto"/>
                <w:kern w:val="0"/>
                <w:sz w:val="18"/>
                <w:szCs w:val="18"/>
                <w:highlight w:val="none"/>
              </w:rPr>
            </w:pPr>
          </w:p>
        </w:tc>
        <w:tc>
          <w:tcPr>
            <w:tcW w:w="622" w:type="dxa"/>
            <w:shd w:val="clear" w:color="000000" w:fill="FFFFFF"/>
            <w:vAlign w:val="center"/>
          </w:tcPr>
          <w:p w14:paraId="1E9D0F46">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highlight w:val="none"/>
              </w:rPr>
            </w:pPr>
            <w:r>
              <w:rPr>
                <w:rFonts w:hint="eastAsia" w:ascii="宋体" w:hAnsi="宋体" w:eastAsia="宋体" w:cs="宋体"/>
                <w:color w:val="auto"/>
                <w:kern w:val="0"/>
                <w:sz w:val="18"/>
                <w:szCs w:val="18"/>
                <w:highlight w:val="none"/>
              </w:rPr>
              <w:t>中药合理用药管理</w:t>
            </w:r>
          </w:p>
        </w:tc>
        <w:tc>
          <w:tcPr>
            <w:tcW w:w="607" w:type="dxa"/>
            <w:shd w:val="clear" w:color="000000" w:fill="FFFFFF"/>
            <w:vAlign w:val="center"/>
          </w:tcPr>
          <w:p w14:paraId="0A5FACE7">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highlight w:val="none"/>
              </w:rPr>
            </w:pPr>
            <w:r>
              <w:rPr>
                <w:rFonts w:hint="eastAsia" w:ascii="宋体" w:hAnsi="宋体" w:eastAsia="宋体" w:cs="宋体"/>
                <w:color w:val="auto"/>
                <w:kern w:val="0"/>
                <w:sz w:val="18"/>
                <w:szCs w:val="18"/>
                <w:highlight w:val="none"/>
              </w:rPr>
              <w:t>1</w:t>
            </w:r>
          </w:p>
        </w:tc>
        <w:tc>
          <w:tcPr>
            <w:tcW w:w="10770" w:type="dxa"/>
            <w:shd w:val="clear" w:color="000000" w:fill="FFFFFF"/>
            <w:vAlign w:val="center"/>
          </w:tcPr>
          <w:p w14:paraId="132FB245">
            <w:pPr>
              <w:spacing w:line="240" w:lineRule="auto"/>
              <w:ind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1、智能审方</w:t>
            </w:r>
          </w:p>
          <w:p w14:paraId="174CE21C">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可根据医疗机构、患者姓名/处方号、开方时间、审核状、登记状态登信息进行处方检索。</w:t>
            </w:r>
          </w:p>
          <w:p w14:paraId="1133A827">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支持基于安全合理用药规则，在审方时进行风险提示，审核未通过的处方将退回医师处，并提供审核未通过说明；支持配伍十八反、十九畏、不宜同用、用药剂量、病证禁忌、特殊人群、毒性药物审查。</w:t>
            </w:r>
          </w:p>
          <w:p w14:paraId="01A1F755">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支持审核下级医疗机构开具的处方；支持批量审方。</w:t>
            </w:r>
          </w:p>
          <w:p w14:paraId="4B7C2E35">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支持系统审方，可配置多个智能审核方案，根据审方条件和审核项智能识别处方问题，没有问题的处方自动通过审核。</w:t>
            </w:r>
          </w:p>
          <w:p w14:paraId="15030781">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支持单独设置膏方、协定方的智能审核。</w:t>
            </w:r>
          </w:p>
          <w:p w14:paraId="7F3A716E">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支持系统审核开启时间设置，可配置人工审核和系统审核的时间。</w:t>
            </w:r>
          </w:p>
          <w:p w14:paraId="32811B15">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支持针对不同医疗机构可设置不同的审核规则。</w:t>
            </w:r>
          </w:p>
          <w:p w14:paraId="5F72A400">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支持针对不同煎药方式配置不同的审核规则。</w:t>
            </w:r>
          </w:p>
          <w:p w14:paraId="57909362">
            <w:pPr>
              <w:widowControl/>
              <w:adjustRightInd w:val="0"/>
              <w:snapToGrid w:val="0"/>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支持按照医院个性化的中药安全合理用药的剂量范围配置审方剂量范围。</w:t>
            </w:r>
          </w:p>
          <w:p w14:paraId="3C815487">
            <w:pPr>
              <w:spacing w:line="240" w:lineRule="auto"/>
              <w:ind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2、药嘱服务管理</w:t>
            </w:r>
          </w:p>
          <w:p w14:paraId="6AA6ED00">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支持药嘱单管理，管理煎煮方法、用药告知、贮藏方法。</w:t>
            </w:r>
          </w:p>
          <w:p w14:paraId="7D0F3E48">
            <w:pPr>
              <w:spacing w:line="240" w:lineRule="auto"/>
              <w:ind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3、处方点评</w:t>
            </w:r>
          </w:p>
          <w:p w14:paraId="56B05529">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支持自定义抽取不同医疗机构的中药处方生成点评单。</w:t>
            </w:r>
          </w:p>
          <w:p w14:paraId="36D2DEC6">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支持自定义抽取指定科室、指定医生的中药处方生成点评单。</w:t>
            </w:r>
          </w:p>
          <w:p w14:paraId="11CBF714">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支持随机抽取指定数量的中药处方生成点评单。</w:t>
            </w:r>
          </w:p>
          <w:p w14:paraId="4E96F9D4">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支持随机抽取指定百分比的中药处方生成点评单。</w:t>
            </w:r>
          </w:p>
          <w:p w14:paraId="5446360E">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支持点评组成员管理，由系统设置点评组成员对中药处方进行点评</w:t>
            </w:r>
          </w:p>
          <w:p w14:paraId="17782F05">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支持设置中药处方均贴费用标准。</w:t>
            </w:r>
          </w:p>
          <w:p w14:paraId="0AD89455">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支持点评人员对中药处方的合格性/不合格依据进行批注说明。</w:t>
            </w:r>
          </w:p>
          <w:p w14:paraId="52B15BA4">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支持点评人员批注不合格中药组方的药物组成时，可以标记对应的中药。</w:t>
            </w:r>
          </w:p>
          <w:p w14:paraId="6534ED03">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支持点评人员点评处方时填写点评说明。</w:t>
            </w:r>
          </w:p>
          <w:p w14:paraId="1F4945CB">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支持提供辅助点评功能，基于安全合理用药规则，智能识别中药处方中存在的不合理问题。</w:t>
            </w:r>
          </w:p>
          <w:p w14:paraId="4F44E8C7">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支持处方点评项预警设置，当处方出现设置为预警项的点评问题时，系统自动识别标记，支持对无预警项问题的处方批量完成合格点评。</w:t>
            </w:r>
          </w:p>
          <w:p w14:paraId="46C9DA70">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提供已点评处方的查询功能，可查看某个中药处方点评结果和点评日志。</w:t>
            </w:r>
          </w:p>
          <w:p w14:paraId="59593357">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已完成的点评单，系统自动生成处方点评表、均剂费用汇报表、点评结果汇报，并且支持统计表的下载。</w:t>
            </w:r>
          </w:p>
          <w:p w14:paraId="20D68B40">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系统支持预设置的中药处方的点评项和点评项分类。</w:t>
            </w:r>
          </w:p>
          <w:p w14:paraId="65376C5C">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可增加点评项分类，对点评项进行管理。</w:t>
            </w:r>
          </w:p>
          <w:p w14:paraId="60725846">
            <w:pPr>
              <w:spacing w:line="240" w:lineRule="auto"/>
              <w:ind w:firstLine="36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提供处方质控趋势统计，支持对统计周期内的处方点评结果趋势进行分析，支持合格率趋势分析，不合格原因趋势分析。</w:t>
            </w:r>
          </w:p>
          <w:p w14:paraId="75C07881">
            <w:pPr>
              <w:spacing w:line="240" w:lineRule="auto"/>
              <w:ind w:firstLine="360"/>
              <w:rPr>
                <w:rFonts w:ascii="宋体" w:hAnsi="宋体" w:eastAsia="宋体" w:cs="宋体"/>
                <w:color w:val="auto"/>
                <w:sz w:val="18"/>
                <w:szCs w:val="18"/>
                <w:highlight w:val="none"/>
              </w:rPr>
            </w:pPr>
            <w:commentRangeStart w:id="1"/>
            <w:r>
              <w:rPr>
                <w:rFonts w:hint="eastAsia" w:ascii="宋体" w:hAnsi="宋体" w:eastAsia="宋体" w:cs="宋体"/>
                <w:color w:val="auto"/>
                <w:sz w:val="18"/>
                <w:szCs w:val="18"/>
                <w:highlight w:val="none"/>
              </w:rPr>
              <w:t>支持自定义分别抽取中药饮片，免煎颗粒，膏方进行点评。</w:t>
            </w:r>
          </w:p>
          <w:p w14:paraId="319868AF">
            <w:pPr>
              <w:spacing w:line="240" w:lineRule="auto"/>
              <w:ind w:firstLine="36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支持自定义抽取出院带药中药饮片处方。</w:t>
            </w:r>
          </w:p>
          <w:p w14:paraId="095AF020">
            <w:pPr>
              <w:spacing w:line="240" w:lineRule="auto"/>
              <w:ind w:firstLine="360" w:firstLineChars="0"/>
              <w:rPr>
                <w:rFonts w:hint="eastAsia" w:asciiTheme="minorEastAsia" w:hAnsiTheme="minorEastAsia" w:eastAsiaTheme="minorEastAsia" w:cstheme="minorEastAsia"/>
                <w:color w:val="auto"/>
                <w:sz w:val="18"/>
                <w:szCs w:val="18"/>
                <w:highlight w:val="none"/>
              </w:rPr>
            </w:pPr>
            <w:r>
              <w:rPr>
                <w:rFonts w:hint="eastAsia" w:ascii="宋体" w:hAnsi="宋体" w:eastAsia="宋体" w:cs="宋体"/>
                <w:color w:val="auto"/>
                <w:sz w:val="18"/>
                <w:szCs w:val="18"/>
                <w:highlight w:val="none"/>
              </w:rPr>
              <w:t>支持统计科室中药饮片使用率，出院带药中药饮片使用率。</w:t>
            </w:r>
            <w:commentRangeEnd w:id="1"/>
            <w:r>
              <w:rPr>
                <w:rStyle w:val="5"/>
                <w:color w:val="auto"/>
                <w:highlight w:val="none"/>
              </w:rPr>
              <w:commentReference w:id="1"/>
            </w:r>
          </w:p>
        </w:tc>
        <w:tc>
          <w:tcPr>
            <w:tcW w:w="278" w:type="pct"/>
            <w:shd w:val="clear" w:color="000000" w:fill="FFFFFF"/>
            <w:vAlign w:val="center"/>
          </w:tcPr>
          <w:p w14:paraId="46164777">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02" w:type="pct"/>
            <w:shd w:val="clear" w:color="000000" w:fill="FFFFFF"/>
            <w:vAlign w:val="center"/>
          </w:tcPr>
          <w:p w14:paraId="42972177">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46" w:type="pct"/>
            <w:shd w:val="clear" w:color="000000" w:fill="FFFFFF"/>
            <w:vAlign w:val="center"/>
          </w:tcPr>
          <w:p w14:paraId="638B57CD">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r>
      <w:tr w14:paraId="78F7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 w:type="pct"/>
            <w:shd w:val="clear" w:color="000000" w:fill="FFFFFF"/>
            <w:vAlign w:val="center"/>
          </w:tcPr>
          <w:p w14:paraId="73E46F8E">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632" w:type="dxa"/>
            <w:vMerge w:val="continue"/>
            <w:vAlign w:val="center"/>
          </w:tcPr>
          <w:p w14:paraId="1D989C70">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p>
        </w:tc>
        <w:tc>
          <w:tcPr>
            <w:tcW w:w="622" w:type="dxa"/>
            <w:shd w:val="clear" w:color="000000" w:fill="FFFFFF"/>
            <w:vAlign w:val="center"/>
          </w:tcPr>
          <w:p w14:paraId="02B6464A">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rPr>
            </w:pPr>
            <w:r>
              <w:rPr>
                <w:rFonts w:hint="eastAsia" w:ascii="宋体" w:hAnsi="宋体" w:eastAsia="宋体" w:cs="宋体"/>
                <w:b/>
                <w:bCs/>
                <w:color w:val="auto"/>
                <w:kern w:val="0"/>
                <w:sz w:val="18"/>
                <w:szCs w:val="18"/>
              </w:rPr>
              <w:t>中药煎药数据溯源管理</w:t>
            </w:r>
          </w:p>
        </w:tc>
        <w:tc>
          <w:tcPr>
            <w:tcW w:w="607" w:type="dxa"/>
            <w:shd w:val="clear" w:color="000000" w:fill="FFFFFF"/>
            <w:vAlign w:val="center"/>
          </w:tcPr>
          <w:p w14:paraId="25B330F1">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1</w:t>
            </w:r>
          </w:p>
        </w:tc>
        <w:tc>
          <w:tcPr>
            <w:tcW w:w="10770" w:type="dxa"/>
            <w:shd w:val="clear" w:color="000000" w:fill="FFFFFF"/>
            <w:vAlign w:val="center"/>
          </w:tcPr>
          <w:p w14:paraId="018C3444">
            <w:pPr>
              <w:spacing w:line="240" w:lineRule="auto"/>
              <w:ind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1、煎药溯源管理</w:t>
            </w:r>
          </w:p>
          <w:p w14:paraId="147BAEFB">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支持管理代煎处方溯源数据，以时间轴形式，完整展示处方从审核到配送的全环节状态。</w:t>
            </w:r>
          </w:p>
          <w:p w14:paraId="776A68E5">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支持对药师审方环节追溯信息，可查询审核药师、审核完成时间，确保处方开具的合理性与规范性。</w:t>
            </w:r>
          </w:p>
          <w:p w14:paraId="39D28099">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提供处方配药环节追溯信息，可查询配药数据，实现配药过程的全流程透明化管理。</w:t>
            </w:r>
          </w:p>
          <w:p w14:paraId="2821D00B">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提供处方复核环节追溯信息，可查询复核数据，通过双重审核机制确保配药准确性。</w:t>
            </w:r>
          </w:p>
          <w:p w14:paraId="0BA8DB0B">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提供中药浸泡环节追溯信息，可查询浸泡数据，确保药材预处理规范。</w:t>
            </w:r>
          </w:p>
          <w:p w14:paraId="26B7B30E">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提供中药煎煮过程追溯信息，可查询煎煮数据，保障煎药质量。</w:t>
            </w:r>
          </w:p>
          <w:p w14:paraId="44F41C8B">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提供药品包装环节追溯功能，可查询包装数据，确保分装准确无误。</w:t>
            </w:r>
          </w:p>
          <w:p w14:paraId="121A7D1A">
            <w:pPr>
              <w:spacing w:line="240" w:lineRule="auto"/>
              <w:ind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2、煎药管理</w:t>
            </w:r>
          </w:p>
          <w:p w14:paraId="676918C3">
            <w:pPr>
              <w:spacing w:line="240" w:lineRule="auto"/>
              <w:ind w:firstLine="360" w:firstLineChars="0"/>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rPr>
              <w:t>支持处方急煎、毒性饮片专机煎煮管理。</w:t>
            </w:r>
          </w:p>
        </w:tc>
        <w:tc>
          <w:tcPr>
            <w:tcW w:w="278" w:type="pct"/>
            <w:shd w:val="clear" w:color="000000" w:fill="FFFFFF"/>
            <w:vAlign w:val="center"/>
          </w:tcPr>
          <w:p w14:paraId="1778A99F">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02" w:type="pct"/>
            <w:shd w:val="clear" w:color="000000" w:fill="FFFFFF"/>
            <w:vAlign w:val="center"/>
          </w:tcPr>
          <w:p w14:paraId="777AF2A7">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46" w:type="pct"/>
            <w:shd w:val="clear" w:color="000000" w:fill="FFFFFF"/>
            <w:vAlign w:val="center"/>
          </w:tcPr>
          <w:p w14:paraId="231F09D6">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r>
      <w:tr w14:paraId="0AF2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 w:type="pct"/>
            <w:shd w:val="clear" w:color="000000" w:fill="FFFFFF"/>
            <w:vAlign w:val="center"/>
          </w:tcPr>
          <w:p w14:paraId="012B00B1">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632" w:type="dxa"/>
            <w:vMerge w:val="continue"/>
            <w:vAlign w:val="center"/>
          </w:tcPr>
          <w:p w14:paraId="69C64038">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p>
        </w:tc>
        <w:tc>
          <w:tcPr>
            <w:tcW w:w="622" w:type="dxa"/>
            <w:shd w:val="clear" w:color="000000" w:fill="FFFFFF"/>
            <w:vAlign w:val="center"/>
          </w:tcPr>
          <w:p w14:paraId="759A8DD7">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中药临方加工质控管理</w:t>
            </w:r>
          </w:p>
        </w:tc>
        <w:tc>
          <w:tcPr>
            <w:tcW w:w="607" w:type="dxa"/>
            <w:shd w:val="clear" w:color="000000" w:fill="FFFFFF"/>
            <w:vAlign w:val="center"/>
          </w:tcPr>
          <w:p w14:paraId="4540732E">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1</w:t>
            </w:r>
          </w:p>
        </w:tc>
        <w:tc>
          <w:tcPr>
            <w:tcW w:w="10770" w:type="dxa"/>
            <w:shd w:val="clear" w:color="000000" w:fill="FFFFFF"/>
            <w:vAlign w:val="center"/>
          </w:tcPr>
          <w:p w14:paraId="74726537">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支持使用PDA进行煎煮流程记录，采集浸泡、煎煮、包装信息，包括信息包括操作人、操作时间、节点照片。</w:t>
            </w:r>
          </w:p>
          <w:p w14:paraId="0A1986F5">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支持扫描二维码查询当前操作人的历史操作记录。</w:t>
            </w:r>
          </w:p>
          <w:p w14:paraId="525C771A">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支持统计当前操作员的所选日期的工作量，包括处方量和操作量。</w:t>
            </w:r>
          </w:p>
          <w:p w14:paraId="7EE2B758">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支持查看浸泡中的处方，实时更新浸泡时间，浸泡完成后进行声音和弹窗提醒。</w:t>
            </w:r>
          </w:p>
          <w:p w14:paraId="2871DBAE">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支持中药处方留样管理。</w:t>
            </w:r>
          </w:p>
          <w:p w14:paraId="0AD57B06">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支持煎药机巡检，使用PDA记录巡检信息；支持巡检记录表导出。</w:t>
            </w:r>
          </w:p>
          <w:p w14:paraId="28ECFBBA">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支持处方检验管理。</w:t>
            </w:r>
          </w:p>
          <w:p w14:paraId="47FE8F69">
            <w:pPr>
              <w:spacing w:line="240" w:lineRule="auto"/>
              <w:ind w:firstLine="360" w:firstLineChars="0"/>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rPr>
              <w:t>上一环节没有扫描，下一环节提醒，浸泡和煎煮时间不足提醒。</w:t>
            </w:r>
          </w:p>
        </w:tc>
        <w:tc>
          <w:tcPr>
            <w:tcW w:w="278" w:type="pct"/>
            <w:shd w:val="clear" w:color="000000" w:fill="FFFFFF"/>
            <w:vAlign w:val="center"/>
          </w:tcPr>
          <w:p w14:paraId="7385FF36">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02" w:type="pct"/>
            <w:shd w:val="clear" w:color="000000" w:fill="FFFFFF"/>
            <w:vAlign w:val="center"/>
          </w:tcPr>
          <w:p w14:paraId="5C6E381A">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46" w:type="pct"/>
            <w:shd w:val="clear" w:color="000000" w:fill="FFFFFF"/>
            <w:vAlign w:val="center"/>
          </w:tcPr>
          <w:p w14:paraId="04AC3051">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r>
      <w:tr w14:paraId="511D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 w:type="pct"/>
            <w:shd w:val="clear" w:color="000000" w:fill="FFFFFF"/>
            <w:vAlign w:val="center"/>
          </w:tcPr>
          <w:p w14:paraId="71E967CD">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632" w:type="dxa"/>
            <w:vMerge w:val="continue"/>
            <w:vAlign w:val="center"/>
          </w:tcPr>
          <w:p w14:paraId="22400CE6">
            <w:pPr>
              <w:widowControl/>
              <w:spacing w:line="240" w:lineRule="auto"/>
              <w:ind w:firstLine="0" w:firstLineChars="0"/>
              <w:jc w:val="left"/>
              <w:rPr>
                <w:rFonts w:hint="eastAsia" w:asciiTheme="minorEastAsia" w:hAnsiTheme="minorEastAsia" w:eastAsiaTheme="minorEastAsia" w:cstheme="minorEastAsia"/>
                <w:color w:val="auto"/>
                <w:kern w:val="0"/>
                <w:sz w:val="18"/>
                <w:szCs w:val="18"/>
                <w:highlight w:val="none"/>
              </w:rPr>
            </w:pPr>
          </w:p>
        </w:tc>
        <w:tc>
          <w:tcPr>
            <w:tcW w:w="622" w:type="dxa"/>
            <w:shd w:val="clear" w:color="000000" w:fill="FFFFFF"/>
            <w:vAlign w:val="center"/>
          </w:tcPr>
          <w:p w14:paraId="0E3B9CEA">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highlight w:val="none"/>
              </w:rPr>
            </w:pPr>
            <w:r>
              <w:rPr>
                <w:rFonts w:hint="eastAsia" w:ascii="宋体" w:hAnsi="宋体" w:eastAsia="宋体" w:cs="宋体"/>
                <w:color w:val="auto"/>
                <w:kern w:val="0"/>
                <w:sz w:val="18"/>
                <w:szCs w:val="18"/>
                <w:highlight w:val="none"/>
              </w:rPr>
              <w:t>中药制剂管理</w:t>
            </w:r>
          </w:p>
        </w:tc>
        <w:tc>
          <w:tcPr>
            <w:tcW w:w="607" w:type="dxa"/>
            <w:shd w:val="clear" w:color="000000" w:fill="FFFFFF"/>
            <w:vAlign w:val="center"/>
          </w:tcPr>
          <w:p w14:paraId="1FFF69D1">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highlight w:val="none"/>
              </w:rPr>
            </w:pPr>
            <w:r>
              <w:rPr>
                <w:rFonts w:hint="eastAsia" w:ascii="宋体" w:hAnsi="宋体" w:eastAsia="宋体" w:cs="宋体"/>
                <w:color w:val="auto"/>
                <w:kern w:val="0"/>
                <w:sz w:val="18"/>
                <w:szCs w:val="18"/>
                <w:highlight w:val="none"/>
              </w:rPr>
              <w:t>1</w:t>
            </w:r>
          </w:p>
        </w:tc>
        <w:tc>
          <w:tcPr>
            <w:tcW w:w="10770" w:type="dxa"/>
            <w:shd w:val="clear" w:color="000000" w:fill="FFFFFF"/>
            <w:vAlign w:val="center"/>
          </w:tcPr>
          <w:p w14:paraId="4E5BDC94">
            <w:pPr>
              <w:spacing w:line="240" w:lineRule="auto"/>
              <w:ind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1、制剂仓储</w:t>
            </w:r>
          </w:p>
          <w:p w14:paraId="2DF6A416">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支持中药材原辅料、包装材料、中药饮片、制剂成品的仓储管理。</w:t>
            </w:r>
          </w:p>
          <w:p w14:paraId="3CF746CD">
            <w:pPr>
              <w:spacing w:line="240" w:lineRule="auto"/>
              <w:ind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2、工艺流程管理</w:t>
            </w:r>
          </w:p>
          <w:p w14:paraId="10530452">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支持制剂工艺流程管理，可管理生产工序、制剂的工艺流程。</w:t>
            </w:r>
          </w:p>
          <w:p w14:paraId="5F2A5F91">
            <w:pPr>
              <w:spacing w:line="240" w:lineRule="auto"/>
              <w:ind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3、制剂生产溯源</w:t>
            </w:r>
          </w:p>
          <w:p w14:paraId="5F8387EB">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支持制剂生产管理，制定制剂生产计划、管理生产指令。</w:t>
            </w:r>
          </w:p>
          <w:p w14:paraId="33369F73">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支持生产批记录管理，记录生产基础信息、生产过程信息。</w:t>
            </w:r>
          </w:p>
          <w:p w14:paraId="2A0880EE">
            <w:pPr>
              <w:widowControl/>
              <w:adjustRightInd w:val="0"/>
              <w:snapToGrid w:val="0"/>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支持根据生产指令单，进行制剂生产过程溯源，记录生产基础信息、生产过程信息。</w:t>
            </w:r>
          </w:p>
          <w:p w14:paraId="267DA0E9">
            <w:pPr>
              <w:widowControl/>
              <w:adjustRightInd w:val="0"/>
              <w:snapToGrid w:val="0"/>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支持查询制剂批次生产的基本信息、溯源信息。</w:t>
            </w:r>
          </w:p>
          <w:p w14:paraId="15B94DE3">
            <w:pPr>
              <w:spacing w:line="240" w:lineRule="auto"/>
              <w:ind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4、留样与检验</w:t>
            </w:r>
          </w:p>
          <w:p w14:paraId="0CB2E5FF">
            <w:pPr>
              <w:spacing w:line="240" w:lineRule="auto"/>
              <w:ind w:firstLine="360" w:firstLineChars="0"/>
              <w:rPr>
                <w:rFonts w:hint="eastAsia" w:asciiTheme="minorEastAsia" w:hAnsiTheme="minorEastAsia" w:eastAsiaTheme="minorEastAsia" w:cstheme="minorEastAsia"/>
                <w:color w:val="auto"/>
                <w:sz w:val="18"/>
                <w:szCs w:val="18"/>
                <w:highlight w:val="none"/>
              </w:rPr>
            </w:pPr>
            <w:r>
              <w:rPr>
                <w:rFonts w:hint="eastAsia" w:ascii="宋体" w:hAnsi="宋体" w:eastAsia="宋体" w:cs="宋体"/>
                <w:color w:val="auto"/>
                <w:sz w:val="18"/>
                <w:szCs w:val="18"/>
                <w:highlight w:val="none"/>
              </w:rPr>
              <w:t>支持制剂留样管理、检验管理。</w:t>
            </w:r>
          </w:p>
        </w:tc>
        <w:tc>
          <w:tcPr>
            <w:tcW w:w="278" w:type="pct"/>
            <w:shd w:val="clear" w:color="000000" w:fill="FFFFFF"/>
            <w:vAlign w:val="center"/>
          </w:tcPr>
          <w:p w14:paraId="66B76BF9">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02" w:type="pct"/>
            <w:shd w:val="clear" w:color="000000" w:fill="FFFFFF"/>
            <w:vAlign w:val="center"/>
          </w:tcPr>
          <w:p w14:paraId="46793D1F">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46" w:type="pct"/>
            <w:shd w:val="clear" w:color="000000" w:fill="FFFFFF"/>
            <w:vAlign w:val="center"/>
          </w:tcPr>
          <w:p w14:paraId="635DC8A5">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r>
      <w:tr w14:paraId="23C4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 w:type="pct"/>
            <w:shd w:val="clear" w:color="000000" w:fill="FFFFFF"/>
            <w:vAlign w:val="center"/>
          </w:tcPr>
          <w:p w14:paraId="582CE521">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w:t>
            </w:r>
          </w:p>
        </w:tc>
        <w:tc>
          <w:tcPr>
            <w:tcW w:w="632" w:type="dxa"/>
            <w:vMerge w:val="continue"/>
            <w:vAlign w:val="center"/>
          </w:tcPr>
          <w:p w14:paraId="4D5EF69C">
            <w:pPr>
              <w:widowControl/>
              <w:spacing w:line="240" w:lineRule="auto"/>
              <w:ind w:firstLine="0" w:firstLineChars="0"/>
              <w:jc w:val="left"/>
              <w:rPr>
                <w:rFonts w:hint="eastAsia" w:asciiTheme="minorEastAsia" w:hAnsiTheme="minorEastAsia" w:eastAsiaTheme="minorEastAsia" w:cstheme="minorEastAsia"/>
                <w:color w:val="auto"/>
                <w:kern w:val="0"/>
                <w:sz w:val="18"/>
                <w:szCs w:val="18"/>
                <w:highlight w:val="none"/>
              </w:rPr>
            </w:pPr>
          </w:p>
        </w:tc>
        <w:tc>
          <w:tcPr>
            <w:tcW w:w="622" w:type="dxa"/>
            <w:shd w:val="clear" w:color="000000" w:fill="FFFFFF"/>
            <w:vAlign w:val="center"/>
          </w:tcPr>
          <w:p w14:paraId="4F278D6C">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highlight w:val="none"/>
              </w:rPr>
            </w:pPr>
            <w:r>
              <w:rPr>
                <w:rFonts w:hint="eastAsia" w:ascii="宋体" w:hAnsi="宋体" w:eastAsia="宋体" w:cs="宋体"/>
                <w:color w:val="auto"/>
                <w:kern w:val="0"/>
                <w:sz w:val="18"/>
                <w:szCs w:val="18"/>
                <w:highlight w:val="none"/>
              </w:rPr>
              <w:t>共享中药房</w:t>
            </w:r>
          </w:p>
        </w:tc>
        <w:tc>
          <w:tcPr>
            <w:tcW w:w="607" w:type="dxa"/>
            <w:shd w:val="clear" w:color="000000" w:fill="FFFFFF"/>
            <w:vAlign w:val="center"/>
          </w:tcPr>
          <w:p w14:paraId="3B693E67">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highlight w:val="none"/>
              </w:rPr>
            </w:pPr>
            <w:r>
              <w:rPr>
                <w:rFonts w:hint="eastAsia" w:ascii="宋体" w:hAnsi="宋体" w:eastAsia="宋体" w:cs="宋体"/>
                <w:color w:val="auto"/>
                <w:kern w:val="0"/>
                <w:sz w:val="18"/>
                <w:szCs w:val="18"/>
                <w:highlight w:val="none"/>
              </w:rPr>
              <w:t>1</w:t>
            </w:r>
          </w:p>
        </w:tc>
        <w:tc>
          <w:tcPr>
            <w:tcW w:w="10770" w:type="dxa"/>
            <w:shd w:val="clear" w:color="000000" w:fill="FFFFFF"/>
            <w:vAlign w:val="center"/>
          </w:tcPr>
          <w:p w14:paraId="1FFBC871">
            <w:pPr>
              <w:spacing w:line="240" w:lineRule="auto"/>
              <w:ind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1、处方流转</w:t>
            </w:r>
          </w:p>
          <w:p w14:paraId="5EA60E6D">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支持接收本医疗机构以外医疗机构（或中医药服务机构）的中药饮片处方信息，实现中药饮片仓储库存信息共享。</w:t>
            </w:r>
          </w:p>
          <w:p w14:paraId="5FB65A1B">
            <w:pPr>
              <w:spacing w:line="240" w:lineRule="auto"/>
              <w:ind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2、药品对账管理</w:t>
            </w:r>
          </w:p>
          <w:p w14:paraId="73CE2FEB">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提供多角度和维度的分析报表，包括：发药汇总报表、费用统计、药品账簿报表、药品出入库汇总报表、收支月报报表、结转查询报表、库存周转率统计报表、每日药品消耗报表、处方金额统计报表、药房业务量统计报表、药库药品出入库汇总报表、药库收支月报报表、发票查询报表、调价统计报表、资金总账报表、应付款汇总报表。</w:t>
            </w:r>
          </w:p>
          <w:p w14:paraId="2FA8D544">
            <w:pPr>
              <w:spacing w:line="240" w:lineRule="auto"/>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支持统计报表的导出功能，主要支持execl的导出文件。</w:t>
            </w:r>
          </w:p>
          <w:p w14:paraId="4C1204D6">
            <w:pPr>
              <w:adjustRightInd w:val="0"/>
              <w:snapToGrid w:val="0"/>
              <w:ind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3、基础管理</w:t>
            </w:r>
          </w:p>
          <w:p w14:paraId="65C0245F">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支持新增医共体，实现医共体管理模式。</w:t>
            </w:r>
          </w:p>
          <w:p w14:paraId="1C5B1DE3">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支持药房管理，可配置药房药库、饮片厂、代煎室，支持散装饮片、散装颗粒、小包装饮片不同类型药品的药房维护。</w:t>
            </w:r>
          </w:p>
          <w:p w14:paraId="22CA0FFF">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支持新建和编辑医共体内的上级及下级医疗机构信息。</w:t>
            </w:r>
          </w:p>
          <w:p w14:paraId="29967ACF">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支持新建和编辑各医疗机构的科室、病区信息。</w:t>
            </w:r>
          </w:p>
          <w:p w14:paraId="218D352C">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支持药品目录与his或辅诊系统的药品目录同步。</w:t>
            </w:r>
          </w:p>
          <w:p w14:paraId="7FB74FF0">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支持新建和编辑药品的产地信息。</w:t>
            </w:r>
          </w:p>
          <w:p w14:paraId="7959DF14">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支持不同的医共体或医疗机构，配置个性化功能。</w:t>
            </w:r>
          </w:p>
          <w:p w14:paraId="21E7BA65">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支持调剂台管理，调剂台可绑定打印机。</w:t>
            </w:r>
          </w:p>
          <w:p w14:paraId="5E2F8E67">
            <w:pPr>
              <w:widowControl/>
              <w:adjustRightInd w:val="0"/>
              <w:snapToGrid w:val="0"/>
              <w:ind w:firstLine="0" w:firstLineChars="0"/>
              <w:jc w:val="left"/>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4、系统管理</w:t>
            </w:r>
          </w:p>
          <w:p w14:paraId="6726F5B5">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支持新建和修改系统用户，且可以修改密码和禁用用户；</w:t>
            </w:r>
          </w:p>
          <w:p w14:paraId="1E2A915F">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可以配置系统菜单及其路径，且可以修改菜单样式；</w:t>
            </w:r>
          </w:p>
          <w:p w14:paraId="4875F49D">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支持新建和编辑角色，也能够设置角色对应的菜单权限；</w:t>
            </w:r>
          </w:p>
          <w:p w14:paraId="4E68E963">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可以查看和标记系统里出现异常的操作日志；</w:t>
            </w:r>
          </w:p>
          <w:p w14:paraId="575D5230">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可以查看系统的操作记录和接口调用记录。</w:t>
            </w:r>
          </w:p>
          <w:p w14:paraId="4E261D8A">
            <w:pPr>
              <w:widowControl/>
              <w:adjustRightInd w:val="0"/>
              <w:snapToGrid w:val="0"/>
              <w:ind w:firstLine="0" w:firstLineChars="0"/>
              <w:jc w:val="left"/>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5、业务管理</w:t>
            </w:r>
          </w:p>
          <w:p w14:paraId="7C8B567F">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支持药品目录查询，可根据药品名称、药品分类、中药类型进行药品查询；</w:t>
            </w:r>
          </w:p>
          <w:p w14:paraId="1A2D21B6">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支持药品摆放位置的查询，可根据药品名称、药品分类、中药类型进行药品查询；</w:t>
            </w:r>
          </w:p>
          <w:p w14:paraId="669CD251">
            <w:pPr>
              <w:widowControl/>
              <w:adjustRightInd w:val="0"/>
              <w:snapToGrid w:val="0"/>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支持药品效期查询，可根据效期截止时间查询药品。</w:t>
            </w:r>
          </w:p>
          <w:p w14:paraId="10497262">
            <w:pPr>
              <w:spacing w:line="240" w:lineRule="auto"/>
              <w:rPr>
                <w:rFonts w:hint="eastAsia" w:asciiTheme="minorEastAsia" w:hAnsiTheme="minorEastAsia" w:eastAsiaTheme="minorEastAsia" w:cstheme="minorEastAsia"/>
                <w:color w:val="auto"/>
                <w:sz w:val="18"/>
                <w:szCs w:val="18"/>
                <w:highlight w:val="none"/>
              </w:rPr>
            </w:pPr>
            <w:r>
              <w:rPr>
                <w:rFonts w:hint="eastAsia" w:ascii="宋体" w:hAnsi="宋体" w:eastAsia="宋体" w:cs="宋体"/>
                <w:color w:val="auto"/>
                <w:sz w:val="18"/>
                <w:szCs w:val="18"/>
                <w:highlight w:val="none"/>
              </w:rPr>
              <w:t>支持调价查询，可根据单据号、调价日期、单据状态查询调价记录。</w:t>
            </w:r>
          </w:p>
        </w:tc>
        <w:tc>
          <w:tcPr>
            <w:tcW w:w="278" w:type="pct"/>
            <w:shd w:val="clear" w:color="000000" w:fill="FFFFFF"/>
            <w:vAlign w:val="center"/>
          </w:tcPr>
          <w:p w14:paraId="72E80408">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02" w:type="pct"/>
            <w:shd w:val="clear" w:color="000000" w:fill="FFFFFF"/>
            <w:vAlign w:val="center"/>
          </w:tcPr>
          <w:p w14:paraId="2771BB78">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46" w:type="pct"/>
            <w:shd w:val="clear" w:color="000000" w:fill="FFFFFF"/>
            <w:vAlign w:val="center"/>
          </w:tcPr>
          <w:p w14:paraId="4E986BC4">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r>
      <w:tr w14:paraId="302B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 w:type="pct"/>
            <w:shd w:val="clear" w:color="000000" w:fill="FFFFFF"/>
            <w:vAlign w:val="center"/>
          </w:tcPr>
          <w:p w14:paraId="0AAB4655">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632" w:type="dxa"/>
            <w:vMerge w:val="continue"/>
            <w:vAlign w:val="center"/>
          </w:tcPr>
          <w:p w14:paraId="67B5E446">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p>
        </w:tc>
        <w:tc>
          <w:tcPr>
            <w:tcW w:w="622" w:type="dxa"/>
            <w:shd w:val="clear" w:color="000000" w:fill="FFFFFF"/>
            <w:vAlign w:val="center"/>
          </w:tcPr>
          <w:p w14:paraId="48033083">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接口改造</w:t>
            </w:r>
          </w:p>
        </w:tc>
        <w:tc>
          <w:tcPr>
            <w:tcW w:w="607" w:type="dxa"/>
            <w:shd w:val="clear" w:color="000000" w:fill="FFFFFF"/>
            <w:vAlign w:val="center"/>
          </w:tcPr>
          <w:p w14:paraId="3D68FEB0">
            <w:pPr>
              <w:widowControl/>
              <w:spacing w:line="240" w:lineRule="auto"/>
              <w:ind w:firstLine="0" w:firstLineChars="0"/>
              <w:jc w:val="center"/>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1</w:t>
            </w:r>
          </w:p>
        </w:tc>
        <w:tc>
          <w:tcPr>
            <w:tcW w:w="10770" w:type="dxa"/>
            <w:shd w:val="clear" w:color="000000" w:fill="FFFFFF"/>
            <w:vAlign w:val="center"/>
          </w:tcPr>
          <w:p w14:paraId="1E5E5BBC">
            <w:pPr>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1、HIS系统接口改造</w:t>
            </w:r>
          </w:p>
          <w:p w14:paraId="7F004694">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支持与医院的HIS接口、乡镇卫生院HIS接口综合改造对接，具备成熟的接口。</w:t>
            </w:r>
          </w:p>
          <w:p w14:paraId="182CCE90">
            <w:pPr>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2、监管平台接口改造</w:t>
            </w:r>
          </w:p>
          <w:p w14:paraId="6555722D">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支持与监管平台的接口综合改造对接，具备成熟的接口，为监管平台提供监管数据。</w:t>
            </w:r>
          </w:p>
          <w:p w14:paraId="74C283CB">
            <w:pPr>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3、物流接口改造</w:t>
            </w:r>
          </w:p>
          <w:p w14:paraId="6B69DCCA">
            <w:pPr>
              <w:spacing w:line="240" w:lineRule="auto"/>
              <w:ind w:firstLine="360"/>
              <w:rPr>
                <w:rFonts w:hint="eastAsia" w:ascii="宋体" w:hAnsi="宋体" w:eastAsia="宋体" w:cs="宋体"/>
                <w:color w:val="auto"/>
                <w:sz w:val="18"/>
                <w:szCs w:val="18"/>
              </w:rPr>
            </w:pPr>
            <w:r>
              <w:rPr>
                <w:rFonts w:hint="eastAsia" w:ascii="宋体" w:hAnsi="宋体" w:eastAsia="宋体" w:cs="宋体"/>
                <w:color w:val="auto"/>
                <w:sz w:val="18"/>
                <w:szCs w:val="18"/>
              </w:rPr>
              <w:t>支持对接用户方选定的物流公司提供的接口文档进行对接，实现物流自动下单，物流状态查询。</w:t>
            </w:r>
          </w:p>
          <w:p w14:paraId="763C8B50">
            <w:pPr>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4、颗粒剂调配柜接口改造</w:t>
            </w:r>
          </w:p>
          <w:p w14:paraId="43442EE0">
            <w:pPr>
              <w:spacing w:line="240" w:lineRule="auto"/>
              <w:ind w:firstLine="360" w:firstLineChars="0"/>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rPr>
              <w:t>支持根据颗粒剂调配柜厂家提供的接口文档进行对接，实现颗粒处方同步到调配柜。</w:t>
            </w:r>
          </w:p>
        </w:tc>
        <w:tc>
          <w:tcPr>
            <w:tcW w:w="278" w:type="pct"/>
            <w:shd w:val="clear" w:color="000000" w:fill="FFFFFF"/>
            <w:vAlign w:val="center"/>
          </w:tcPr>
          <w:p w14:paraId="046E4903">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02" w:type="pct"/>
            <w:shd w:val="clear" w:color="000000" w:fill="FFFFFF"/>
            <w:vAlign w:val="center"/>
          </w:tcPr>
          <w:p w14:paraId="0E0E6533">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c>
          <w:tcPr>
            <w:tcW w:w="246" w:type="pct"/>
            <w:shd w:val="clear" w:color="000000" w:fill="FFFFFF"/>
            <w:vAlign w:val="center"/>
          </w:tcPr>
          <w:p w14:paraId="4A720B34">
            <w:pPr>
              <w:widowControl/>
              <w:spacing w:line="240" w:lineRule="auto"/>
              <w:ind w:firstLine="0" w:firstLineChars="0"/>
              <w:jc w:val="center"/>
              <w:rPr>
                <w:rFonts w:hint="eastAsia" w:asciiTheme="minorEastAsia" w:hAnsiTheme="minorEastAsia" w:eastAsiaTheme="minorEastAsia" w:cstheme="minorEastAsia"/>
                <w:color w:val="000000"/>
                <w:kern w:val="0"/>
                <w:sz w:val="18"/>
                <w:szCs w:val="18"/>
              </w:rPr>
            </w:pPr>
          </w:p>
        </w:tc>
      </w:tr>
      <w:tr w14:paraId="0666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 w:type="pct"/>
            <w:shd w:val="clear" w:color="000000" w:fill="FFFFFF"/>
            <w:vAlign w:val="center"/>
          </w:tcPr>
          <w:p w14:paraId="425CB094">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w:t>
            </w:r>
          </w:p>
        </w:tc>
        <w:tc>
          <w:tcPr>
            <w:tcW w:w="632" w:type="dxa"/>
            <w:vMerge w:val="restart"/>
            <w:shd w:val="clear" w:color="000000" w:fill="FFFFFF"/>
            <w:vAlign w:val="center"/>
          </w:tcPr>
          <w:p w14:paraId="78EEEE16">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配套硬件</w:t>
            </w:r>
          </w:p>
        </w:tc>
        <w:tc>
          <w:tcPr>
            <w:tcW w:w="622" w:type="dxa"/>
            <w:shd w:val="clear" w:color="000000" w:fill="FFFFFF"/>
            <w:vAlign w:val="center"/>
          </w:tcPr>
          <w:p w14:paraId="0130B769">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平板</w:t>
            </w:r>
          </w:p>
        </w:tc>
        <w:tc>
          <w:tcPr>
            <w:tcW w:w="607" w:type="dxa"/>
            <w:shd w:val="clear" w:color="000000" w:fill="FFFFFF"/>
            <w:vAlign w:val="center"/>
          </w:tcPr>
          <w:p w14:paraId="44F8DC89">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10</w:t>
            </w:r>
          </w:p>
        </w:tc>
        <w:tc>
          <w:tcPr>
            <w:tcW w:w="10770" w:type="dxa"/>
            <w:shd w:val="clear" w:color="000000" w:fill="FFFFFF"/>
            <w:vAlign w:val="center"/>
          </w:tcPr>
          <w:p w14:paraId="6E676EBB">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1.尺寸：≥10英寸</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2.运行内存：≥6G</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3.电池容量：≥8000mAh(typ)</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4.分辨率：≥1920*1200</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5.CPU：不低于八核 2.4 GHZ</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6.用户存储扩展：最大兼容128GB</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7.储存空间：≥128G</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8.摄像头：前置≥500万像素相机，后置≥800万像素相机</w:t>
            </w:r>
          </w:p>
        </w:tc>
        <w:tc>
          <w:tcPr>
            <w:tcW w:w="278" w:type="pct"/>
            <w:shd w:val="clear" w:color="000000" w:fill="FFFFFF"/>
            <w:vAlign w:val="center"/>
          </w:tcPr>
          <w:p w14:paraId="110FEECD">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p>
        </w:tc>
        <w:tc>
          <w:tcPr>
            <w:tcW w:w="202" w:type="pct"/>
            <w:shd w:val="clear" w:color="000000" w:fill="FFFFFF"/>
            <w:vAlign w:val="center"/>
          </w:tcPr>
          <w:p w14:paraId="627C2FC3">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p>
        </w:tc>
        <w:tc>
          <w:tcPr>
            <w:tcW w:w="246" w:type="pct"/>
            <w:shd w:val="clear" w:color="000000" w:fill="FFFFFF"/>
            <w:vAlign w:val="center"/>
          </w:tcPr>
          <w:p w14:paraId="1CB7461D">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p>
        </w:tc>
      </w:tr>
      <w:tr w14:paraId="6CAA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 w:type="pct"/>
            <w:shd w:val="clear" w:color="000000" w:fill="FFFFFF"/>
            <w:vAlign w:val="center"/>
          </w:tcPr>
          <w:p w14:paraId="28B19AB0">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632" w:type="dxa"/>
            <w:vMerge w:val="continue"/>
            <w:vAlign w:val="center"/>
          </w:tcPr>
          <w:p w14:paraId="40882615">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p>
        </w:tc>
        <w:tc>
          <w:tcPr>
            <w:tcW w:w="622" w:type="dxa"/>
            <w:shd w:val="clear" w:color="000000" w:fill="FFFFFF"/>
            <w:vAlign w:val="center"/>
          </w:tcPr>
          <w:p w14:paraId="4229CCCB">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打印机</w:t>
            </w:r>
          </w:p>
        </w:tc>
        <w:tc>
          <w:tcPr>
            <w:tcW w:w="607" w:type="dxa"/>
            <w:shd w:val="clear" w:color="000000" w:fill="FFFFFF"/>
            <w:vAlign w:val="center"/>
          </w:tcPr>
          <w:p w14:paraId="58A2676E">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2</w:t>
            </w:r>
          </w:p>
        </w:tc>
        <w:tc>
          <w:tcPr>
            <w:tcW w:w="10770" w:type="dxa"/>
            <w:shd w:val="clear" w:color="000000" w:fill="FFFFFF"/>
            <w:vAlign w:val="center"/>
          </w:tcPr>
          <w:p w14:paraId="25BD2D1F">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1.纸张探测方式：反射式</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2.条形码：二维码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3.打印模式：热转式/热敏式</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4.解析度：≥203dpi(8dots/mm)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5.打印速度：≥127mm/s</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6.最大打印宽度：≥108mm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7.最大打印长度：≥2794mm</w:t>
            </w:r>
          </w:p>
        </w:tc>
        <w:tc>
          <w:tcPr>
            <w:tcW w:w="278" w:type="pct"/>
            <w:shd w:val="clear" w:color="000000" w:fill="FFFFFF"/>
            <w:vAlign w:val="center"/>
          </w:tcPr>
          <w:p w14:paraId="6578C358">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p>
        </w:tc>
        <w:tc>
          <w:tcPr>
            <w:tcW w:w="202" w:type="pct"/>
            <w:shd w:val="clear" w:color="000000" w:fill="FFFFFF"/>
            <w:vAlign w:val="center"/>
          </w:tcPr>
          <w:p w14:paraId="649BE31A">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p>
        </w:tc>
        <w:tc>
          <w:tcPr>
            <w:tcW w:w="246" w:type="pct"/>
            <w:shd w:val="clear" w:color="000000" w:fill="FFFFFF"/>
            <w:vAlign w:val="center"/>
          </w:tcPr>
          <w:p w14:paraId="727F6211">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p>
        </w:tc>
      </w:tr>
      <w:tr w14:paraId="4601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 w:type="pct"/>
            <w:shd w:val="clear" w:color="000000" w:fill="FFFFFF"/>
            <w:vAlign w:val="center"/>
          </w:tcPr>
          <w:p w14:paraId="2476D794">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w:t>
            </w:r>
          </w:p>
        </w:tc>
        <w:tc>
          <w:tcPr>
            <w:tcW w:w="632" w:type="dxa"/>
            <w:vMerge w:val="continue"/>
            <w:vAlign w:val="center"/>
          </w:tcPr>
          <w:p w14:paraId="7E38FBF0">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p>
        </w:tc>
        <w:tc>
          <w:tcPr>
            <w:tcW w:w="622" w:type="dxa"/>
            <w:shd w:val="clear" w:color="000000" w:fill="FFFFFF"/>
            <w:vAlign w:val="center"/>
          </w:tcPr>
          <w:p w14:paraId="6B2628B6">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PDA</w:t>
            </w:r>
          </w:p>
        </w:tc>
        <w:tc>
          <w:tcPr>
            <w:tcW w:w="607" w:type="dxa"/>
            <w:shd w:val="clear" w:color="000000" w:fill="FFFFFF"/>
            <w:vAlign w:val="center"/>
          </w:tcPr>
          <w:p w14:paraId="31F4B824">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4</w:t>
            </w:r>
          </w:p>
        </w:tc>
        <w:tc>
          <w:tcPr>
            <w:tcW w:w="10770" w:type="dxa"/>
            <w:shd w:val="clear" w:color="000000" w:fill="FFFFFF"/>
            <w:vAlign w:val="center"/>
          </w:tcPr>
          <w:p w14:paraId="2783AE5F">
            <w:pPr>
              <w:widowControl/>
              <w:spacing w:line="240" w:lineRule="auto"/>
              <w:ind w:firstLine="0" w:firstLineChars="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CPU：不低于八核2.0GHz</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操作系统：Android 11</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存储：≥4GB+64GB</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尺寸：不小于156(H)×76(W)×13.9mm(T)</w:t>
            </w:r>
          </w:p>
          <w:p w14:paraId="3DE12A59">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电池：≥5000mAh</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重量（含电池）：≥255g</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显示屏幕：≥5.5英寸显示屏，电容式触摸，支持湿手模式、手套模式，分辨率为≥720*1440</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电源（主电池）：可拆卸5000mAh锂离子电池</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快充支持：支持18W</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通知方式：声音、振动器、LED灯指示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音频：内置底侧出声单扬声器，内置双麦克风（具有降噪功能）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传感器：G-sensor、光线传感器、距离传感器</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防水防尘工业等级：≥IP68</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跌落等级：≥1.5米（大理石）</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抗冲击：≥1000轮，≥0.5米滚动（相当于2000次撞击）</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接口（最少包含以下接口）：防水Type C USB接口，支持Type C耳机、USB2.0 HighSpeed、OTG以及快充功能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WIFI：支持IEEE 802.11a/b/g/n/ac（2.4G/5G双频WIFI）协议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WWAN：支持全网通，双卡双待，满足移动办公需求</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GPS：GPS+GLONASS+北斗三合一，支持AGPS</w:t>
            </w:r>
          </w:p>
        </w:tc>
        <w:tc>
          <w:tcPr>
            <w:tcW w:w="278" w:type="pct"/>
            <w:shd w:val="clear" w:color="000000" w:fill="FFFFFF"/>
            <w:vAlign w:val="center"/>
          </w:tcPr>
          <w:p w14:paraId="14C50114">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p>
        </w:tc>
        <w:tc>
          <w:tcPr>
            <w:tcW w:w="202" w:type="pct"/>
            <w:shd w:val="clear" w:color="000000" w:fill="FFFFFF"/>
            <w:vAlign w:val="center"/>
          </w:tcPr>
          <w:p w14:paraId="286BCCB5">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p>
        </w:tc>
        <w:tc>
          <w:tcPr>
            <w:tcW w:w="246" w:type="pct"/>
            <w:shd w:val="clear" w:color="000000" w:fill="FFFFFF"/>
            <w:vAlign w:val="center"/>
          </w:tcPr>
          <w:p w14:paraId="72533CE0">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p>
        </w:tc>
      </w:tr>
      <w:tr w14:paraId="7933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 w:type="pct"/>
            <w:shd w:val="clear" w:color="000000" w:fill="FFFFFF"/>
            <w:vAlign w:val="center"/>
          </w:tcPr>
          <w:p w14:paraId="42A2A9FB">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w:t>
            </w:r>
          </w:p>
        </w:tc>
        <w:tc>
          <w:tcPr>
            <w:tcW w:w="632" w:type="dxa"/>
            <w:vMerge w:val="continue"/>
            <w:vAlign w:val="center"/>
          </w:tcPr>
          <w:p w14:paraId="755FE370">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p>
        </w:tc>
        <w:tc>
          <w:tcPr>
            <w:tcW w:w="622" w:type="dxa"/>
            <w:shd w:val="clear" w:color="000000" w:fill="FFFFFF"/>
            <w:vAlign w:val="center"/>
          </w:tcPr>
          <w:p w14:paraId="7AA5370C">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显示器</w:t>
            </w:r>
          </w:p>
        </w:tc>
        <w:tc>
          <w:tcPr>
            <w:tcW w:w="607" w:type="dxa"/>
            <w:shd w:val="clear" w:color="000000" w:fill="FFFFFF"/>
            <w:vAlign w:val="center"/>
          </w:tcPr>
          <w:p w14:paraId="2F3DAED6">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1</w:t>
            </w:r>
          </w:p>
        </w:tc>
        <w:tc>
          <w:tcPr>
            <w:tcW w:w="10770" w:type="dxa"/>
            <w:shd w:val="clear" w:color="000000" w:fill="FFFFFF"/>
            <w:vAlign w:val="center"/>
          </w:tcPr>
          <w:p w14:paraId="1759ECE4">
            <w:pPr>
              <w:widowControl/>
              <w:spacing w:line="240" w:lineRule="auto"/>
              <w:ind w:firstLine="0" w:firstLineChars="0"/>
              <w:jc w:val="left"/>
              <w:rPr>
                <w:rFonts w:hint="eastAsia" w:asciiTheme="minorEastAsia" w:hAnsiTheme="minorEastAsia" w:eastAsiaTheme="minorEastAsia" w:cstheme="minorEastAsia"/>
                <w:color w:val="auto"/>
                <w:kern w:val="0"/>
                <w:sz w:val="18"/>
                <w:szCs w:val="18"/>
              </w:rPr>
            </w:pPr>
            <w:r>
              <w:rPr>
                <w:rFonts w:hint="eastAsia" w:ascii="宋体" w:hAnsi="宋体" w:eastAsia="宋体" w:cs="宋体"/>
                <w:color w:val="auto"/>
                <w:kern w:val="0"/>
                <w:sz w:val="18"/>
                <w:szCs w:val="18"/>
              </w:rPr>
              <w:t>1.存储内存：≥32GB</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2.系统：Android</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3.背光方式：直下式/DLED</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4.CPU架构：不低于四核A35</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5.运行内存/RAM：≥2GB</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6.屏占比：97%&gt;N≥95%</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7.USB2.0接口数：≥2个</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8.HDMI2.0接口数：≥2个</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9.含底座重量：</w:t>
            </w:r>
            <w:r>
              <w:rPr>
                <w:rFonts w:ascii="Arial" w:hAnsi="Arial" w:eastAsia="宋体" w:cs="Arial"/>
                <w:color w:val="auto"/>
                <w:kern w:val="0"/>
                <w:sz w:val="18"/>
                <w:szCs w:val="18"/>
              </w:rPr>
              <w:t>≤</w:t>
            </w:r>
            <w:r>
              <w:rPr>
                <w:rFonts w:hint="eastAsia" w:ascii="宋体" w:hAnsi="宋体" w:eastAsia="宋体" w:cs="宋体"/>
                <w:color w:val="auto"/>
                <w:kern w:val="0"/>
                <w:sz w:val="18"/>
                <w:szCs w:val="18"/>
              </w:rPr>
              <w:t>19.13kg</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10.亮度：≥200-300尼特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11.屏幕比例：16:9</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12.屏幕分辨率：≥超高清4K</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13.屏幕尺寸：≥70英寸</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14.响应时间：</w:t>
            </w:r>
            <w:r>
              <w:rPr>
                <w:rFonts w:ascii="Arial" w:hAnsi="Arial" w:eastAsia="宋体" w:cs="Arial"/>
                <w:color w:val="auto"/>
                <w:kern w:val="0"/>
                <w:sz w:val="18"/>
                <w:szCs w:val="18"/>
              </w:rPr>
              <w:t>≤</w:t>
            </w:r>
            <w:r>
              <w:rPr>
                <w:rFonts w:hint="eastAsia" w:ascii="宋体" w:hAnsi="宋体" w:eastAsia="宋体" w:cs="宋体"/>
                <w:color w:val="auto"/>
                <w:kern w:val="0"/>
                <w:sz w:val="18"/>
                <w:szCs w:val="18"/>
              </w:rPr>
              <w:t>8ms</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15.色域值：≥78%</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16.音响功率：≥20W</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17.显示类型：LCD显示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18.连接方式：无线/有线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19.配件：机身x1、遥控器x1、电池x2、底座x1、螺钉套件x1、说明书&amp;保修卡x1</w:t>
            </w:r>
          </w:p>
        </w:tc>
        <w:tc>
          <w:tcPr>
            <w:tcW w:w="278" w:type="pct"/>
            <w:shd w:val="clear" w:color="000000" w:fill="FFFFFF"/>
            <w:vAlign w:val="center"/>
          </w:tcPr>
          <w:p w14:paraId="6FE1A863">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p>
        </w:tc>
        <w:tc>
          <w:tcPr>
            <w:tcW w:w="202" w:type="pct"/>
            <w:shd w:val="clear" w:color="000000" w:fill="FFFFFF"/>
            <w:vAlign w:val="center"/>
          </w:tcPr>
          <w:p w14:paraId="3AF21EE4">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p>
        </w:tc>
        <w:tc>
          <w:tcPr>
            <w:tcW w:w="246" w:type="pct"/>
            <w:shd w:val="clear" w:color="000000" w:fill="FFFFFF"/>
            <w:vAlign w:val="center"/>
          </w:tcPr>
          <w:p w14:paraId="0DF20425">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rPr>
            </w:pPr>
          </w:p>
        </w:tc>
      </w:tr>
      <w:tr w14:paraId="1609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8"/>
            <w:shd w:val="clear" w:color="000000" w:fill="FFFFFF"/>
            <w:vAlign w:val="center"/>
          </w:tcPr>
          <w:p w14:paraId="370070BD">
            <w:pPr>
              <w:widowControl/>
              <w:spacing w:line="240" w:lineRule="auto"/>
              <w:ind w:firstLine="0" w:firstLineChars="0"/>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cstheme="minorEastAsia"/>
                <w:color w:val="000000"/>
                <w:kern w:val="0"/>
                <w:sz w:val="18"/>
                <w:szCs w:val="18"/>
                <w:lang w:val="en-US" w:eastAsia="zh-CN"/>
              </w:rPr>
              <w:t>总价：</w:t>
            </w:r>
          </w:p>
        </w:tc>
      </w:tr>
    </w:tbl>
    <w:p w14:paraId="1A5B9A17">
      <w:pPr>
        <w:rPr>
          <w:rFonts w:hint="eastAsia" w:eastAsia="仿宋" w:cs="仿宋"/>
          <w:b/>
          <w:bCs/>
          <w:sz w:val="36"/>
          <w:szCs w:val="36"/>
          <w:lang w:val="en-US" w:eastAsia="zh-CN"/>
        </w:rPr>
      </w:pPr>
    </w:p>
    <w:sectPr>
      <w:pgSz w:w="16838" w:h="11906" w:orient="landscape"/>
      <w:pgMar w:top="720" w:right="720" w:bottom="720" w:left="72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烜嘩 周" w:date="2026-04-24T17:26:00Z" w:initials="烜周">
    <w:p w14:paraId="088802B2">
      <w:pPr>
        <w:pStyle w:val="2"/>
        <w:ind w:firstLine="420"/>
        <w:rPr>
          <w:rFonts w:hint="eastAsia"/>
        </w:rPr>
      </w:pPr>
      <w:r>
        <w:rPr>
          <w:rFonts w:hint="eastAsia"/>
        </w:rPr>
        <w:t>位置变更，从物流配送中下移</w:t>
      </w:r>
    </w:p>
  </w:comment>
  <w:comment w:id="1" w:author="烜嘩 周" w:date="2026-04-24T18:41:00Z" w:initials="烜周">
    <w:p w14:paraId="28B39FEE">
      <w:pPr>
        <w:pStyle w:val="2"/>
        <w:ind w:firstLine="420"/>
        <w:rPr>
          <w:rFonts w:hint="eastAsia"/>
        </w:rPr>
      </w:pPr>
      <w:r>
        <w:rPr>
          <w:rFonts w:hint="eastAsia"/>
        </w:rPr>
        <w:t>新增</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8802B2" w15:done="0"/>
  <w15:commentEx w15:paraId="28B39F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烜嘩 周">
    <w15:presenceInfo w15:providerId="None" w15:userId="烜嘩 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31BCC"/>
    <w:rsid w:val="067F1BC4"/>
    <w:rsid w:val="21E60DEC"/>
    <w:rsid w:val="22A31BCC"/>
    <w:rsid w:val="327E5E4D"/>
    <w:rsid w:val="639A01CB"/>
    <w:rsid w:val="7CD24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annotation reference"/>
    <w:basedOn w:val="4"/>
    <w:qFormat/>
    <w:uiPriority w:val="0"/>
    <w:rPr>
      <w:sz w:val="21"/>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143</Words>
  <Characters>148</Characters>
  <Lines>0</Lines>
  <Paragraphs>0</Paragraphs>
  <TotalTime>0</TotalTime>
  <ScaleCrop>false</ScaleCrop>
  <LinksUpToDate>false</LinksUpToDate>
  <CharactersWithSpaces>148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2026-01-30T01:14:00Z</dcterms:created>
  <dc:creator>紫星涔</dc:creator>
  <cp:lastModifiedBy>紫星涔</cp:lastModifiedBy>
  <dcterms:modified xsi:type="dcterms:W3CDTF">2026-04-30T02:53:11Z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D1BCD618942647AD9F57F94242B14209_11</vt:lpwstr>
  </property>
  <property fmtid="{D5CDD505-2E9C-101B-9397-08002B2CF9AE}" pid="4" name="KSOTemplateDocerSaveRecord">
    <vt:lpwstr>eyJoZGlkIjoiNzc3ODQ3ZWExZDRhMThkZmI4N2NjOTRmMzc1OWRjYmEiLCJ1c2VySWQiOiIxMTQ3MjMwOTg4In0=</vt:lpwstr>
  </property>
</Properties>
</file>