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4EA93">
      <w:pPr>
        <w:jc w:val="center"/>
        <w:rPr>
          <w:rFonts w:hint="eastAsia"/>
          <w:sz w:val="28"/>
          <w:szCs w:val="28"/>
          <w:lang w:eastAsia="zh-CN"/>
        </w:rPr>
      </w:pPr>
      <w:r>
        <w:rPr>
          <w:rFonts w:hint="eastAsia"/>
          <w:sz w:val="28"/>
          <w:szCs w:val="28"/>
          <w:lang w:eastAsia="zh-CN"/>
        </w:rPr>
        <w:t>采购类服务项目技术需求方案</w:t>
      </w:r>
    </w:p>
    <w:p w14:paraId="6295FCB0">
      <w:pPr>
        <w:jc w:val="center"/>
        <w:rPr>
          <w:rFonts w:hint="eastAsia"/>
          <w:lang w:eastAsia="zh-CN"/>
        </w:rPr>
      </w:pPr>
    </w:p>
    <w:p w14:paraId="1E504805">
      <w:pPr>
        <w:jc w:val="center"/>
        <w:rPr>
          <w:rFonts w:hint="eastAsia"/>
          <w:lang w:eastAsia="zh-CN"/>
        </w:rPr>
      </w:pPr>
    </w:p>
    <w:p w14:paraId="6B31F703">
      <w:pPr>
        <w:jc w:val="both"/>
        <w:rPr>
          <w:rFonts w:hint="eastAsia"/>
          <w:lang w:eastAsia="zh-CN"/>
        </w:rPr>
      </w:pPr>
      <w:r>
        <w:rPr>
          <w:rFonts w:hint="eastAsia"/>
          <w:lang w:eastAsia="zh-CN"/>
        </w:rPr>
        <w:t>采购类项目内容，</w:t>
      </w:r>
      <w:r>
        <w:rPr>
          <w:rFonts w:hint="eastAsia"/>
          <w:u w:val="single"/>
          <w:lang w:eastAsia="zh-CN"/>
        </w:rPr>
        <w:t>医疗检测项目与第三方医疗机构合作服务</w:t>
      </w:r>
      <w:r>
        <w:rPr>
          <w:rFonts w:hint="eastAsia"/>
          <w:lang w:eastAsia="zh-CN"/>
        </w:rPr>
        <w:t>采购项目类别：服务采购项目需求一览表：</w:t>
      </w:r>
    </w:p>
    <w:tbl>
      <w:tblPr>
        <w:tblStyle w:val="3"/>
        <w:tblpPr w:leftFromText="180" w:rightFromText="180" w:vertAnchor="text" w:horzAnchor="page" w:tblpX="1792" w:tblpY="53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6818"/>
      </w:tblGrid>
      <w:tr w14:paraId="3603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CF5D9B7">
            <w:pPr>
              <w:jc w:val="both"/>
              <w:rPr>
                <w:rFonts w:hint="eastAsia"/>
                <w:vertAlign w:val="baseline"/>
                <w:lang w:eastAsia="zh-CN"/>
              </w:rPr>
            </w:pPr>
            <w:r>
              <w:rPr>
                <w:rFonts w:hint="eastAsia"/>
                <w:vertAlign w:val="baseline"/>
                <w:lang w:eastAsia="zh-CN"/>
              </w:rPr>
              <w:t>一、项目采购需求</w:t>
            </w:r>
          </w:p>
        </w:tc>
      </w:tr>
      <w:tr w14:paraId="6CD0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773FC2A">
            <w:pPr>
              <w:jc w:val="both"/>
              <w:rPr>
                <w:rFonts w:hint="eastAsia"/>
                <w:vertAlign w:val="baseline"/>
                <w:lang w:eastAsia="zh-CN"/>
              </w:rPr>
            </w:pPr>
            <w:r>
              <w:rPr>
                <w:rFonts w:hint="eastAsia"/>
                <w:vertAlign w:val="baseline"/>
                <w:lang w:eastAsia="zh-CN"/>
              </w:rPr>
              <w:t>序号</w:t>
            </w:r>
          </w:p>
        </w:tc>
        <w:tc>
          <w:tcPr>
            <w:tcW w:w="852" w:type="dxa"/>
          </w:tcPr>
          <w:p w14:paraId="711CB764">
            <w:pPr>
              <w:jc w:val="both"/>
              <w:rPr>
                <w:rFonts w:hint="eastAsia"/>
                <w:vertAlign w:val="baseline"/>
                <w:lang w:eastAsia="zh-CN"/>
              </w:rPr>
            </w:pPr>
            <w:r>
              <w:rPr>
                <w:rFonts w:hint="eastAsia"/>
                <w:vertAlign w:val="baseline"/>
                <w:lang w:eastAsia="zh-CN"/>
              </w:rPr>
              <w:t>数量</w:t>
            </w:r>
          </w:p>
        </w:tc>
        <w:tc>
          <w:tcPr>
            <w:tcW w:w="6818" w:type="dxa"/>
          </w:tcPr>
          <w:p w14:paraId="233C6118">
            <w:pPr>
              <w:jc w:val="center"/>
              <w:rPr>
                <w:rFonts w:hint="eastAsia"/>
                <w:vertAlign w:val="baseline"/>
                <w:lang w:eastAsia="zh-CN"/>
              </w:rPr>
            </w:pPr>
            <w:r>
              <w:rPr>
                <w:rFonts w:hint="eastAsia"/>
                <w:vertAlign w:val="baseline"/>
                <w:lang w:eastAsia="zh-CN"/>
              </w:rPr>
              <w:t>服务需求、技术需求</w:t>
            </w:r>
          </w:p>
        </w:tc>
      </w:tr>
      <w:tr w14:paraId="0081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4" w:hRule="atLeast"/>
        </w:trPr>
        <w:tc>
          <w:tcPr>
            <w:tcW w:w="852" w:type="dxa"/>
          </w:tcPr>
          <w:p w14:paraId="769062BD">
            <w:pPr>
              <w:jc w:val="center"/>
              <w:rPr>
                <w:rFonts w:hint="eastAsia"/>
                <w:vertAlign w:val="baseline"/>
                <w:lang w:val="en-US" w:eastAsia="zh-CN"/>
              </w:rPr>
            </w:pPr>
          </w:p>
          <w:p w14:paraId="55761C3D">
            <w:pPr>
              <w:jc w:val="center"/>
              <w:rPr>
                <w:rFonts w:hint="eastAsia"/>
                <w:vertAlign w:val="baseline"/>
                <w:lang w:val="en-US" w:eastAsia="zh-CN"/>
              </w:rPr>
            </w:pPr>
          </w:p>
          <w:p w14:paraId="058EC492">
            <w:pPr>
              <w:jc w:val="center"/>
              <w:rPr>
                <w:rFonts w:hint="eastAsia"/>
                <w:vertAlign w:val="baseline"/>
                <w:lang w:val="en-US" w:eastAsia="zh-CN"/>
              </w:rPr>
            </w:pPr>
          </w:p>
          <w:p w14:paraId="0FE9B19F">
            <w:pPr>
              <w:jc w:val="center"/>
              <w:rPr>
                <w:rFonts w:hint="eastAsia"/>
                <w:vertAlign w:val="baseline"/>
                <w:lang w:val="en-US" w:eastAsia="zh-CN"/>
              </w:rPr>
            </w:pPr>
          </w:p>
          <w:p w14:paraId="49F9E4AF">
            <w:pPr>
              <w:jc w:val="center"/>
              <w:rPr>
                <w:rFonts w:hint="eastAsia"/>
                <w:vertAlign w:val="baseline"/>
                <w:lang w:val="en-US" w:eastAsia="zh-CN"/>
              </w:rPr>
            </w:pPr>
            <w:r>
              <w:rPr>
                <w:rFonts w:hint="eastAsia"/>
                <w:vertAlign w:val="baseline"/>
                <w:lang w:val="en-US" w:eastAsia="zh-CN"/>
              </w:rPr>
              <w:t>1</w:t>
            </w:r>
          </w:p>
        </w:tc>
        <w:tc>
          <w:tcPr>
            <w:tcW w:w="852" w:type="dxa"/>
          </w:tcPr>
          <w:p w14:paraId="6D16E608">
            <w:pPr>
              <w:jc w:val="both"/>
              <w:rPr>
                <w:rFonts w:hint="eastAsia"/>
                <w:vertAlign w:val="baseline"/>
                <w:lang w:val="en-US" w:eastAsia="zh-CN"/>
              </w:rPr>
            </w:pPr>
          </w:p>
          <w:p w14:paraId="2125B411">
            <w:pPr>
              <w:jc w:val="both"/>
              <w:rPr>
                <w:rFonts w:hint="eastAsia"/>
                <w:vertAlign w:val="baseline"/>
                <w:lang w:val="en-US" w:eastAsia="zh-CN"/>
              </w:rPr>
            </w:pPr>
          </w:p>
          <w:p w14:paraId="03E91604">
            <w:pPr>
              <w:jc w:val="both"/>
              <w:rPr>
                <w:rFonts w:hint="eastAsia"/>
                <w:vertAlign w:val="baseline"/>
                <w:lang w:val="en-US" w:eastAsia="zh-CN"/>
              </w:rPr>
            </w:pPr>
          </w:p>
          <w:p w14:paraId="3C6A683F">
            <w:pPr>
              <w:jc w:val="both"/>
              <w:rPr>
                <w:rFonts w:hint="eastAsia"/>
                <w:vertAlign w:val="baseline"/>
                <w:lang w:val="en-US" w:eastAsia="zh-CN"/>
              </w:rPr>
            </w:pPr>
          </w:p>
          <w:p w14:paraId="7B42B6B9">
            <w:pPr>
              <w:jc w:val="center"/>
              <w:rPr>
                <w:rFonts w:hint="default"/>
                <w:vertAlign w:val="baseline"/>
                <w:lang w:val="en-US" w:eastAsia="zh-CN"/>
              </w:rPr>
            </w:pPr>
            <w:r>
              <w:rPr>
                <w:rFonts w:hint="eastAsia"/>
                <w:vertAlign w:val="baseline"/>
                <w:lang w:val="en-US" w:eastAsia="zh-CN"/>
              </w:rPr>
              <w:t>3</w:t>
            </w:r>
          </w:p>
        </w:tc>
        <w:tc>
          <w:tcPr>
            <w:tcW w:w="6818" w:type="dxa"/>
          </w:tcPr>
          <w:p w14:paraId="226A4FFA">
            <w:pPr>
              <w:numPr>
                <w:ilvl w:val="0"/>
                <w:numId w:val="0"/>
              </w:numPr>
              <w:jc w:val="both"/>
              <w:rPr>
                <w:rFonts w:hint="eastAsia"/>
              </w:rPr>
            </w:pPr>
          </w:p>
          <w:p w14:paraId="49E3DD1C">
            <w:pPr>
              <w:numPr>
                <w:ilvl w:val="0"/>
                <w:numId w:val="1"/>
              </w:numPr>
              <w:jc w:val="both"/>
              <w:rPr>
                <w:rFonts w:hint="eastAsia"/>
                <w:b/>
                <w:bCs/>
                <w:vertAlign w:val="baseline"/>
                <w:lang w:eastAsia="zh-CN"/>
              </w:rPr>
            </w:pPr>
            <w:r>
              <w:rPr>
                <w:rFonts w:hint="eastAsia"/>
                <w:b/>
                <w:bCs/>
                <w:vertAlign w:val="baseline"/>
                <w:lang w:eastAsia="zh-CN"/>
              </w:rPr>
              <w:t>服务范围：</w:t>
            </w:r>
          </w:p>
          <w:p w14:paraId="72CDD2B3">
            <w:pPr>
              <w:numPr>
                <w:ilvl w:val="0"/>
                <w:numId w:val="0"/>
              </w:numPr>
              <w:ind w:firstLine="420"/>
              <w:jc w:val="both"/>
              <w:rPr>
                <w:rFonts w:hint="eastAsia"/>
                <w:vertAlign w:val="baseline"/>
                <w:lang w:val="en-US" w:eastAsia="zh-CN"/>
              </w:rPr>
            </w:pPr>
            <w:r>
              <w:rPr>
                <w:rFonts w:hint="eastAsia"/>
                <w:vertAlign w:val="baseline"/>
                <w:lang w:val="en-US" w:eastAsia="zh-CN"/>
              </w:rPr>
              <w:t>1.医院病理外送项目，包括病理科及临床的常规项目、特殊项目（分子病理基因检测、肿瘤分子基因检测、疑难病理会诊等项目）；</w:t>
            </w:r>
          </w:p>
          <w:p w14:paraId="03D17D76">
            <w:pPr>
              <w:numPr>
                <w:ilvl w:val="0"/>
                <w:numId w:val="0"/>
              </w:numPr>
              <w:ind w:firstLine="420"/>
              <w:jc w:val="both"/>
              <w:rPr>
                <w:rFonts w:hint="eastAsia"/>
                <w:vertAlign w:val="baseline"/>
                <w:lang w:val="en-US" w:eastAsia="zh-CN"/>
              </w:rPr>
            </w:pPr>
            <w:r>
              <w:rPr>
                <w:rFonts w:hint="eastAsia"/>
                <w:vertAlign w:val="baseline"/>
                <w:lang w:val="en-US" w:eastAsia="zh-CN"/>
              </w:rPr>
              <w:t>2.检查项目清单详见附件“《广西国际壮医医院与第三方医疗检测机构合作服务项目明细》”（仅供投标参考），最终实施的送检项目，需以医院审核的为准，且医院可根据临床需求，经医保办审核备案后不定期增加相关检测外送项目。</w:t>
            </w:r>
          </w:p>
          <w:p w14:paraId="72239518">
            <w:pPr>
              <w:numPr>
                <w:ilvl w:val="0"/>
                <w:numId w:val="0"/>
              </w:numPr>
              <w:jc w:val="both"/>
              <w:rPr>
                <w:rFonts w:hint="eastAsia"/>
                <w:vertAlign w:val="baseline"/>
                <w:lang w:val="en-US" w:eastAsia="zh-CN"/>
              </w:rPr>
            </w:pPr>
            <w:r>
              <w:rPr>
                <w:rFonts w:hint="eastAsia"/>
                <w:b/>
                <w:bCs/>
                <w:vertAlign w:val="baseline"/>
                <w:lang w:val="en-US" w:eastAsia="zh-CN"/>
              </w:rPr>
              <w:t>二、服务期限：</w:t>
            </w:r>
            <w:r>
              <w:rPr>
                <w:rFonts w:hint="eastAsia"/>
                <w:vertAlign w:val="baseline"/>
                <w:lang w:val="en-US" w:eastAsia="zh-CN"/>
              </w:rPr>
              <w:t>自合同签订之日起3年（合同服务期内若医院具备自行开展检测业务能力时，可针对某个业务不送检或提前终止合同）。</w:t>
            </w:r>
          </w:p>
          <w:p w14:paraId="614FF648">
            <w:pPr>
              <w:numPr>
                <w:ilvl w:val="0"/>
                <w:numId w:val="0"/>
              </w:numPr>
              <w:jc w:val="both"/>
              <w:rPr>
                <w:rFonts w:hint="eastAsia"/>
                <w:b/>
                <w:bCs/>
                <w:vertAlign w:val="baseline"/>
                <w:lang w:val="en-US" w:eastAsia="zh-CN"/>
              </w:rPr>
            </w:pPr>
            <w:r>
              <w:rPr>
                <w:rFonts w:hint="eastAsia"/>
                <w:b/>
                <w:bCs/>
                <w:vertAlign w:val="baseline"/>
                <w:lang w:val="en-US" w:eastAsia="zh-CN"/>
              </w:rPr>
              <w:t>三、收费价格依据：</w:t>
            </w:r>
          </w:p>
          <w:p w14:paraId="0C9B81B2">
            <w:pPr>
              <w:numPr>
                <w:ilvl w:val="0"/>
                <w:numId w:val="0"/>
              </w:numPr>
              <w:jc w:val="both"/>
              <w:rPr>
                <w:rFonts w:hint="eastAsia" w:asciiTheme="minorEastAsia" w:hAnsiTheme="minorEastAsia" w:cstheme="minorEastAsia"/>
                <w:vertAlign w:val="baseline"/>
                <w:lang w:val="en-US" w:eastAsia="zh-CN"/>
              </w:rPr>
            </w:pPr>
            <w:r>
              <w:rPr>
                <w:rFonts w:hint="eastAsia"/>
                <w:vertAlign w:val="baseline"/>
                <w:lang w:val="en-US" w:eastAsia="zh-CN"/>
              </w:rPr>
              <w:t xml:space="preserve">     向病人收取临床常规或特殊检测项目服务费参照《广西壮族自治区医疗服务价格》（以最新版本和调整通知为准）（以下简称收费标准），被委托方向委托方收取检测服务费按</w:t>
            </w:r>
            <w:r>
              <w:rPr>
                <w:rFonts w:hint="default" w:ascii="Arial" w:hAnsi="Arial" w:cs="Arial"/>
                <w:vertAlign w:val="baseline"/>
                <w:lang w:val="en-US" w:eastAsia="zh-CN"/>
              </w:rPr>
              <w:t>≤</w:t>
            </w:r>
            <w:r>
              <w:rPr>
                <w:rFonts w:hint="eastAsia" w:asciiTheme="minorEastAsia" w:hAnsiTheme="minorEastAsia" w:cstheme="minorEastAsia"/>
                <w:vertAlign w:val="baseline"/>
                <w:lang w:val="en-US" w:eastAsia="zh-CN"/>
              </w:rPr>
              <w:t>单个项目收费的63%。</w:t>
            </w:r>
          </w:p>
          <w:p w14:paraId="3CC7D836">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b/>
                <w:bCs/>
                <w:vertAlign w:val="baseline"/>
                <w:lang w:val="en-US" w:eastAsia="zh-CN"/>
              </w:rPr>
              <w:t>四、检测机构：</w:t>
            </w:r>
          </w:p>
          <w:p w14:paraId="4770C92A">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1.具有独立法人资格，能够独立承担民事责任，提供有效的营业执照、组织机构代码证、税务登记证等且在有效期内。</w:t>
            </w:r>
          </w:p>
          <w:p w14:paraId="25FA3A29">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2.拥有省级及以上卫生健康行政部门或相关主管部门认可的分子检测实验室资质，开展临床基因扩增实验需取得临床基因扩增检验实验室技术审核合格证书等。取得</w:t>
            </w:r>
            <w:bookmarkStart w:id="0" w:name="_GoBack"/>
            <w:bookmarkEnd w:id="0"/>
            <w:r>
              <w:rPr>
                <w:rFonts w:hint="eastAsia" w:asciiTheme="minorEastAsia" w:hAnsiTheme="minorEastAsia" w:cstheme="minorEastAsia"/>
                <w:vertAlign w:val="baseline"/>
                <w:lang w:val="en-US" w:eastAsia="zh-CN"/>
              </w:rPr>
              <w:t>ISO15189《医学实验室质量和能力认可准则》合格证书等。具备先进的、成熟的分子检测技术平台，如一代测序、二代测序、FISH等，且设备定期校准，维护，符合相关标准。</w:t>
            </w:r>
          </w:p>
          <w:p w14:paraId="2B6A64C5">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3.无重大违法违规记录、重大医疗事故或不良信用记录。</w:t>
            </w:r>
          </w:p>
          <w:p w14:paraId="3EA173D2">
            <w:pPr>
              <w:numPr>
                <w:ilvl w:val="0"/>
                <w:numId w:val="0"/>
              </w:numPr>
              <w:jc w:val="both"/>
              <w:rPr>
                <w:rFonts w:hint="eastAsia" w:asciiTheme="minorEastAsia" w:hAnsiTheme="minorEastAsia" w:cstheme="minorEastAsia"/>
                <w:b/>
                <w:bCs/>
                <w:vertAlign w:val="baseline"/>
                <w:lang w:val="en-US" w:eastAsia="zh-CN"/>
              </w:rPr>
            </w:pPr>
            <w:r>
              <w:rPr>
                <w:rFonts w:hint="eastAsia" w:asciiTheme="minorEastAsia" w:hAnsiTheme="minorEastAsia" w:cstheme="minorEastAsia"/>
                <w:b/>
                <w:bCs/>
                <w:vertAlign w:val="baseline"/>
                <w:lang w:val="en-US" w:eastAsia="zh-CN"/>
              </w:rPr>
              <w:t>五、实验室技术人员：</w:t>
            </w:r>
          </w:p>
          <w:p w14:paraId="1FC52BB5">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1.严格按照国家规定卫健委检测规范进行检测，须要具备相应职称资质的人员进行检测（提供资质证明材料），进行分子病理检测的实验人员必须经过培训，取得PCR上岗证。</w:t>
            </w:r>
          </w:p>
          <w:p w14:paraId="20EDEB55">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2.专科病理诊断专家具有副主任医师（含）以上资格，在该亚专科领域病理诊断工作5年以上。</w:t>
            </w:r>
          </w:p>
          <w:p w14:paraId="7D9E038B">
            <w:pPr>
              <w:numPr>
                <w:ilvl w:val="0"/>
                <w:numId w:val="0"/>
              </w:numPr>
              <w:jc w:val="both"/>
              <w:rPr>
                <w:rFonts w:hint="eastAsia" w:asciiTheme="minorEastAsia" w:hAnsiTheme="minorEastAsia" w:cstheme="minorEastAsia"/>
                <w:b/>
                <w:bCs/>
                <w:vertAlign w:val="baseline"/>
                <w:lang w:val="en-US" w:eastAsia="zh-CN"/>
              </w:rPr>
            </w:pPr>
            <w:r>
              <w:rPr>
                <w:rFonts w:hint="eastAsia" w:asciiTheme="minorEastAsia" w:hAnsiTheme="minorEastAsia" w:cstheme="minorEastAsia"/>
                <w:b/>
                <w:bCs/>
                <w:vertAlign w:val="baseline"/>
                <w:lang w:val="en-US" w:eastAsia="zh-CN"/>
              </w:rPr>
              <w:t>六、检测样本管理：</w:t>
            </w:r>
          </w:p>
          <w:p w14:paraId="443BB128">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1.取样：每天收取标本次数不低于一次（节假日及特殊需求除外）。</w:t>
            </w:r>
          </w:p>
          <w:p w14:paraId="796A317D">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2.运输：按照血液运输要求进行标本运输，可实时掌握样本信息，标本从始发地到实验室的整个运输过程有温控记录。</w:t>
            </w:r>
          </w:p>
          <w:p w14:paraId="7BE33919">
            <w:pPr>
              <w:numPr>
                <w:ilvl w:val="0"/>
                <w:numId w:val="0"/>
              </w:numPr>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3.样本处理：根据用户要求处理样本，检测后剩余样本按相关要求保存，必要时转移给客户。</w:t>
            </w:r>
          </w:p>
          <w:p w14:paraId="070434C4">
            <w:pPr>
              <w:numPr>
                <w:ilvl w:val="0"/>
                <w:numId w:val="0"/>
              </w:numPr>
              <w:jc w:val="both"/>
              <w:rPr>
                <w:rFonts w:hint="eastAsia" w:asciiTheme="minorEastAsia" w:hAnsiTheme="minorEastAsia" w:cstheme="minorEastAsia"/>
                <w:b/>
                <w:bCs/>
                <w:vertAlign w:val="baseline"/>
                <w:lang w:val="en-US" w:eastAsia="zh-CN"/>
              </w:rPr>
            </w:pPr>
            <w:r>
              <w:rPr>
                <w:rFonts w:hint="eastAsia" w:asciiTheme="minorEastAsia" w:hAnsiTheme="minorEastAsia" w:cstheme="minorEastAsia"/>
                <w:vertAlign w:val="baseline"/>
                <w:lang w:val="en-US" w:eastAsia="zh-CN"/>
              </w:rPr>
              <w:t xml:space="preserve">     4.未经采购方同意不能将剩余样本另作他用或转让给第三方使用。七、</w:t>
            </w:r>
            <w:r>
              <w:rPr>
                <w:rFonts w:hint="eastAsia" w:asciiTheme="minorEastAsia" w:hAnsiTheme="minorEastAsia" w:cstheme="minorEastAsia"/>
                <w:b/>
                <w:bCs/>
                <w:vertAlign w:val="baseline"/>
                <w:lang w:val="en-US" w:eastAsia="zh-CN"/>
              </w:rPr>
              <w:t>检测结果：</w:t>
            </w:r>
          </w:p>
          <w:p w14:paraId="650BB39D">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1.必须真实、准确、及时的提供检验报告，并对所出具的检测报告承担相应的责任；</w:t>
            </w:r>
          </w:p>
          <w:p w14:paraId="6AAFEEC2">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2.每次检测结果要有完整的原始记录；</w:t>
            </w:r>
          </w:p>
          <w:p w14:paraId="28886412">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3.为医院提供信息共享渠道，可在线查询检测结果；</w:t>
            </w:r>
          </w:p>
          <w:p w14:paraId="5E871159">
            <w:pPr>
              <w:numPr>
                <w:ilvl w:val="0"/>
                <w:numId w:val="0"/>
              </w:numPr>
              <w:ind w:left="0" w:leftChars="0" w:firstLine="0" w:firstLineChars="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 xml:space="preserve">    4.检测的所有样本信息、结果及报告等严格遵守医疗保密规定，妥善保管患者信息和检测数据，不得泄露相关隐私，提供数据安全保障措施。</w:t>
            </w:r>
          </w:p>
          <w:p w14:paraId="4A899CFE">
            <w:pPr>
              <w:numPr>
                <w:ilvl w:val="0"/>
                <w:numId w:val="0"/>
              </w:numPr>
              <w:jc w:val="both"/>
              <w:rPr>
                <w:rFonts w:hint="eastAsia" w:asciiTheme="minorEastAsia" w:hAnsiTheme="minorEastAsia" w:cstheme="minorEastAsia"/>
                <w:b/>
                <w:bCs/>
                <w:vertAlign w:val="baseline"/>
                <w:lang w:val="en-US" w:eastAsia="zh-CN"/>
              </w:rPr>
            </w:pPr>
            <w:r>
              <w:rPr>
                <w:rFonts w:hint="eastAsia" w:asciiTheme="minorEastAsia" w:hAnsiTheme="minorEastAsia" w:cstheme="minorEastAsia"/>
                <w:b/>
                <w:bCs/>
                <w:vertAlign w:val="baseline"/>
                <w:lang w:val="en-US" w:eastAsia="zh-CN"/>
              </w:rPr>
              <w:t>八、质量控制：</w:t>
            </w:r>
          </w:p>
          <w:p w14:paraId="0C9DAA66">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1.每次检测前均应对检测仪器进行校准和室内质控；</w:t>
            </w:r>
          </w:p>
          <w:p w14:paraId="2E1DA609">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2.仪器设备必须是符合国家、行业相关规定的仪器设备并定期校准；</w:t>
            </w:r>
          </w:p>
          <w:p w14:paraId="6C8C65CF">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3.所有开展的项目均应参加国家卫健委临床检验中心组织的室间质评并达到合格检测标准以上；</w:t>
            </w:r>
          </w:p>
          <w:p w14:paraId="5CCF467C">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4.督导与抽查：检测单位必须定期接受国家或广西壮族自治区临床检验中心组的督导和抽查；</w:t>
            </w:r>
          </w:p>
          <w:p w14:paraId="0E42EB6F">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5.定期将机构质量情况向委托方报告，并接受委托方的质询和检查。</w:t>
            </w:r>
          </w:p>
          <w:p w14:paraId="04DAA8D3">
            <w:pPr>
              <w:numPr>
                <w:ilvl w:val="0"/>
                <w:numId w:val="0"/>
              </w:numPr>
              <w:ind w:firstLine="420"/>
              <w:jc w:val="both"/>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6.所有委托检测项目不得转运分包。</w:t>
            </w:r>
          </w:p>
          <w:p w14:paraId="61EA27C3">
            <w:pPr>
              <w:numPr>
                <w:ilvl w:val="0"/>
                <w:numId w:val="0"/>
              </w:numPr>
              <w:jc w:val="both"/>
              <w:rPr>
                <w:rFonts w:hint="eastAsia"/>
                <w:vertAlign w:val="baseline"/>
                <w:lang w:val="en-US" w:eastAsia="zh-CN"/>
              </w:rPr>
            </w:pPr>
            <w:r>
              <w:rPr>
                <w:rFonts w:hint="eastAsia"/>
                <w:vertAlign w:val="baseline"/>
                <w:lang w:val="en-US" w:eastAsia="zh-CN"/>
              </w:rPr>
              <w:t xml:space="preserve">    7.有专门的技术咨询和服务团队，能及时解答临床科室关于检测项目、结果解读的疑问，对有疑异的结果应在一周内复核并反馈。</w:t>
            </w:r>
          </w:p>
        </w:tc>
      </w:tr>
    </w:tbl>
    <w:p w14:paraId="0CA8BCB9">
      <w:pPr>
        <w:jc w:val="both"/>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55957"/>
    <w:multiLevelType w:val="singleLevel"/>
    <w:tmpl w:val="68A5595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43ACE"/>
    <w:rsid w:val="7194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1350</Characters>
  <Lines>0</Lines>
  <Paragraphs>0</Paragraphs>
  <TotalTime>5</TotalTime>
  <ScaleCrop>false</ScaleCrop>
  <LinksUpToDate>false</LinksUpToDate>
  <CharactersWithSpaces>1408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月</cp:lastModifiedBy>
  <dcterms:modified xsi:type="dcterms:W3CDTF">2025-08-29T10:30:44Z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eyJoZGlkIjoiOGFhM2Y3MWJkNDMyZDczMDg3NWU2MTQ1NGY5N2ExNWMiLCJ1c2VySWQiOiIzNTU1ODkzOTQifQ==</vt:lpwstr>
  </property>
  <property fmtid="{D5CDD505-2E9C-101B-9397-08002B2CF9AE}" pid="4" name="ICV">
    <vt:lpwstr>BA082F943E83418CA508432F2A5651F5_13</vt:lpwstr>
  </property>
</Properties>
</file>