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9713">
      <w:pPr>
        <w:spacing w:line="273" w:lineRule="auto"/>
        <w:rPr>
          <w:rFonts w:ascii="Arial"/>
          <w:sz w:val="21"/>
        </w:rPr>
      </w:pPr>
    </w:p>
    <w:p w14:paraId="2B920C88">
      <w:pPr>
        <w:spacing w:before="101" w:line="230" w:lineRule="auto"/>
        <w:ind w:left="1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</w:p>
    <w:p w14:paraId="37261D7F">
      <w:pPr>
        <w:spacing w:line="438" w:lineRule="auto"/>
        <w:rPr>
          <w:rFonts w:ascii="Arial"/>
          <w:sz w:val="21"/>
        </w:rPr>
      </w:pPr>
    </w:p>
    <w:p w14:paraId="48192D22">
      <w:pPr>
        <w:spacing w:before="166" w:line="202" w:lineRule="auto"/>
        <w:ind w:left="723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截至 2024 年末发行的新增政府一般债券</w:t>
      </w:r>
    </w:p>
    <w:p w14:paraId="24413DEA">
      <w:pPr>
        <w:spacing w:line="234" w:lineRule="auto"/>
        <w:ind w:left="3032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资金收支情况表</w:t>
      </w:r>
    </w:p>
    <w:p w14:paraId="5D7FF91B">
      <w:pPr>
        <w:pStyle w:val="2"/>
        <w:spacing w:before="151" w:line="218" w:lineRule="auto"/>
        <w:ind w:firstLine="7084" w:firstLineChars="2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单位：亿元</w:t>
      </w:r>
    </w:p>
    <w:tbl>
      <w:tblPr>
        <w:tblStyle w:val="6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74"/>
        <w:gridCol w:w="1589"/>
        <w:gridCol w:w="3123"/>
        <w:gridCol w:w="2031"/>
      </w:tblGrid>
      <w:tr w14:paraId="3B206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bottom w:val="nil"/>
            </w:tcBorders>
            <w:vAlign w:val="center"/>
          </w:tcPr>
          <w:p w14:paraId="4F1A30C3">
            <w:pPr>
              <w:spacing w:before="36" w:line="217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063" w:type="dxa"/>
            <w:gridSpan w:val="2"/>
            <w:vAlign w:val="center"/>
          </w:tcPr>
          <w:p w14:paraId="29D16002">
            <w:pPr>
              <w:spacing w:before="35"/>
              <w:ind w:left="120" w:right="102" w:hanging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截至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年末新增一般债券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资金收入</w:t>
            </w:r>
          </w:p>
        </w:tc>
        <w:tc>
          <w:tcPr>
            <w:tcW w:w="5154" w:type="dxa"/>
            <w:gridSpan w:val="2"/>
            <w:vAlign w:val="center"/>
          </w:tcPr>
          <w:p w14:paraId="46218B18">
            <w:pPr>
              <w:spacing w:before="36" w:line="214" w:lineRule="auto"/>
              <w:ind w:left="1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截至</w:t>
            </w:r>
            <w:r>
              <w:rPr>
                <w:rFonts w:hint="eastAsia" w:ascii="仿宋_GB2312" w:hAnsi="仿宋_GB2312" w:eastAsia="仿宋_GB2312" w:cs="仿宋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年末新增一般债券资金安排的支出</w:t>
            </w:r>
          </w:p>
        </w:tc>
      </w:tr>
      <w:tr w14:paraId="6BC9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Merge w:val="continue"/>
            <w:tcBorders>
              <w:top w:val="nil"/>
            </w:tcBorders>
            <w:vAlign w:val="center"/>
          </w:tcPr>
          <w:p w14:paraId="6E331AF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BF63960">
            <w:pPr>
              <w:spacing w:before="32" w:line="214" w:lineRule="auto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债券名称</w:t>
            </w:r>
          </w:p>
        </w:tc>
        <w:tc>
          <w:tcPr>
            <w:tcW w:w="1589" w:type="dxa"/>
            <w:vAlign w:val="center"/>
          </w:tcPr>
          <w:p w14:paraId="36FB8EA2">
            <w:pPr>
              <w:spacing w:before="32" w:line="221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23" w:type="dxa"/>
            <w:vAlign w:val="center"/>
          </w:tcPr>
          <w:p w14:paraId="47B3AD49">
            <w:pPr>
              <w:spacing w:before="32" w:line="212" w:lineRule="auto"/>
              <w:ind w:left="1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支出功能分类</w:t>
            </w:r>
          </w:p>
        </w:tc>
        <w:tc>
          <w:tcPr>
            <w:tcW w:w="2031" w:type="dxa"/>
            <w:vAlign w:val="center"/>
          </w:tcPr>
          <w:p w14:paraId="508FE805">
            <w:pPr>
              <w:spacing w:before="32" w:line="221" w:lineRule="auto"/>
              <w:ind w:left="1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金额</w:t>
            </w:r>
          </w:p>
        </w:tc>
      </w:tr>
      <w:tr w14:paraId="34647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 w14:paraId="680DD0C6">
            <w:pPr>
              <w:spacing w:before="33" w:line="208" w:lineRule="auto"/>
              <w:ind w:left="11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474" w:type="dxa"/>
            <w:vAlign w:val="center"/>
          </w:tcPr>
          <w:p w14:paraId="63C0A7E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5FB564D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0.00146</w:t>
            </w:r>
          </w:p>
        </w:tc>
        <w:tc>
          <w:tcPr>
            <w:tcW w:w="3123" w:type="dxa"/>
            <w:vAlign w:val="center"/>
          </w:tcPr>
          <w:p w14:paraId="37725F1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A2F260A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04E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903" w:type="dxa"/>
            <w:vAlign w:val="center"/>
          </w:tcPr>
          <w:p w14:paraId="6F11E41D">
            <w:pPr>
              <w:spacing w:before="31" w:line="294" w:lineRule="exact"/>
              <w:ind w:left="13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1A07005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center"/>
          </w:tcPr>
          <w:p w14:paraId="04B123D4">
            <w:pPr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0.00146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45C329F">
            <w:pPr>
              <w:spacing w:before="34" w:line="214" w:lineRule="auto"/>
              <w:ind w:left="122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210</w:t>
            </w:r>
            <w:r>
              <w:rPr>
                <w:rFonts w:hint="eastAsia" w:ascii="仿宋_GB2312" w:hAnsi="仿宋_GB2312" w:eastAsia="仿宋_GB2312" w:cs="仿宋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0ABEC0E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0.00146</w:t>
            </w:r>
          </w:p>
        </w:tc>
      </w:tr>
    </w:tbl>
    <w:p w14:paraId="3A2CF916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441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93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B0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2D10FE"/>
    <w:rsid w:val="24D86E5C"/>
    <w:rsid w:val="2B616237"/>
    <w:rsid w:val="38F26669"/>
    <w:rsid w:val="3B612EFA"/>
    <w:rsid w:val="46550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144</Characters>
  <TotalTime>17</TotalTime>
  <ScaleCrop>false</ScaleCrop>
  <LinksUpToDate>false</LinksUpToDate>
  <CharactersWithSpaces>153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2025-07-01T10:51:00Z</dcterms:created>
  <dc:creator>郭艳</dc:creator>
  <cp:lastModifiedBy>香织</cp:lastModifiedBy>
  <dcterms:modified xsi:type="dcterms:W3CDTF">2025-07-02T04:09:38Z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2025-07-02T10:08:43Z</vt:filetime>
  </property>
  <property fmtid="{D5CDD505-2E9C-101B-9397-08002B2CF9AE}" pid="4" name="KSOProductBuildVer">
    <vt:lpwstr>2052-12.1.0.21541</vt:lpwstr>
  </property>
  <property fmtid="{D5CDD505-2E9C-101B-9397-08002B2CF9AE}" pid="5" name="ICV">
    <vt:lpwstr>6CD86DC4123741BE983AB873E681D121_13</vt:lpwstr>
  </property>
  <property fmtid="{D5CDD505-2E9C-101B-9397-08002B2CF9AE}" pid="6" name="KSOTemplateDocerSaveRecord">
    <vt:lpwstr>eyJoZGlkIjoiMWIwYmJmNzBhYjg3YmEyYmIzODc3MGM0NmVkZGU1YzMiLCJ1c2VySWQiOiI3MzcwNTcyOTQifQ==</vt:lpwstr>
  </property>
</Properties>
</file>