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CA1DF">
      <w:pPr>
        <w:spacing w:line="360" w:lineRule="exact"/>
        <w:ind w:firstLine="723" w:firstLineChars="200"/>
        <w:contextualSpacing/>
        <w:jc w:val="center"/>
        <w:rPr>
          <w:rFonts w:hint="eastAsia" w:ascii="宋体" w:hAnsi="宋体"/>
          <w:b/>
          <w:sz w:val="36"/>
          <w:szCs w:val="36"/>
        </w:rPr>
      </w:pPr>
      <w:r>
        <w:rPr>
          <w:rFonts w:hint="eastAsia" w:ascii="Arial" w:hAnsi="Arial" w:cs="Arial"/>
          <w:b/>
          <w:bCs/>
          <w:sz w:val="36"/>
          <w:szCs w:val="36"/>
        </w:rPr>
        <w:t>内镜设备全保维修服务</w:t>
      </w:r>
      <w:r>
        <w:rPr>
          <w:rFonts w:hint="eastAsia" w:ascii="Arial" w:hAnsi="Arial" w:cs="Arial"/>
          <w:b/>
          <w:bCs/>
          <w:sz w:val="36"/>
          <w:szCs w:val="36"/>
          <w:lang w:eastAsia="zh-CN"/>
        </w:rPr>
        <w:t>需求</w:t>
      </w:r>
    </w:p>
    <w:p w14:paraId="66065416">
      <w:pPr>
        <w:spacing w:line="360" w:lineRule="exact"/>
        <w:ind w:firstLine="422" w:firstLineChars="200"/>
        <w:contextualSpacing/>
        <w:rPr>
          <w:rFonts w:ascii="宋体" w:hAnsi="宋体"/>
          <w:b/>
          <w:szCs w:val="21"/>
        </w:rPr>
      </w:pPr>
      <w:r>
        <w:rPr>
          <w:rFonts w:hint="eastAsia" w:ascii="宋体" w:hAnsi="宋体"/>
          <w:b/>
          <w:szCs w:val="21"/>
        </w:rPr>
        <w:t>一、全保维修内镜设备：</w:t>
      </w:r>
    </w:p>
    <w:p w14:paraId="6AE033D0">
      <w:pPr>
        <w:spacing w:line="360" w:lineRule="exact"/>
        <w:ind w:firstLine="420" w:firstLineChars="200"/>
        <w:contextualSpacing/>
        <w:rPr>
          <w:rFonts w:ascii="宋体" w:hAnsi="宋体"/>
          <w:szCs w:val="21"/>
        </w:rPr>
      </w:pPr>
      <w:r>
        <w:rPr>
          <w:rFonts w:ascii="宋体" w:hAnsi="宋体"/>
          <w:szCs w:val="21"/>
        </w:rPr>
        <w:t>1</w:t>
      </w:r>
      <w:r>
        <w:rPr>
          <w:rFonts w:hint="eastAsia" w:ascii="宋体" w:hAnsi="宋体"/>
          <w:szCs w:val="21"/>
        </w:rPr>
        <w:t>、内镜：奥林巴斯电子消化内镜</w:t>
      </w:r>
      <w:r>
        <w:rPr>
          <w:rFonts w:hint="eastAsia" w:ascii="宋体" w:hAnsi="宋体"/>
          <w:szCs w:val="21"/>
          <w:lang w:val="en-US" w:eastAsia="zh-CN"/>
        </w:rPr>
        <w:t>7</w:t>
      </w:r>
      <w:r>
        <w:rPr>
          <w:rFonts w:hint="eastAsia" w:ascii="宋体" w:hAnsi="宋体"/>
          <w:szCs w:val="21"/>
        </w:rPr>
        <w:t>条（</w:t>
      </w:r>
      <w:r>
        <w:rPr>
          <w:rFonts w:hint="eastAsia" w:ascii="宋体" w:hAnsi="宋体"/>
          <w:szCs w:val="21"/>
          <w:lang w:val="en-US" w:eastAsia="zh-CN"/>
        </w:rPr>
        <w:t>4</w:t>
      </w:r>
      <w:r>
        <w:rPr>
          <w:rFonts w:hint="eastAsia" w:ascii="宋体" w:hAnsi="宋体"/>
          <w:szCs w:val="21"/>
        </w:rPr>
        <w:t>条胃镜、</w:t>
      </w:r>
      <w:r>
        <w:rPr>
          <w:rFonts w:hint="eastAsia" w:ascii="宋体" w:hAnsi="宋体"/>
          <w:szCs w:val="21"/>
          <w:lang w:val="en-US" w:eastAsia="zh-CN"/>
        </w:rPr>
        <w:t>2</w:t>
      </w:r>
      <w:r>
        <w:rPr>
          <w:rFonts w:hint="eastAsia" w:ascii="宋体" w:hAnsi="宋体"/>
          <w:szCs w:val="21"/>
        </w:rPr>
        <w:t>条肠镜、1条十二指肠镜），详见附件。</w:t>
      </w:r>
    </w:p>
    <w:p w14:paraId="72413713">
      <w:pPr>
        <w:spacing w:line="360" w:lineRule="exact"/>
        <w:ind w:firstLine="422" w:firstLineChars="200"/>
        <w:contextualSpacing/>
        <w:rPr>
          <w:rFonts w:ascii="宋体" w:hAnsi="宋体"/>
          <w:b/>
          <w:szCs w:val="21"/>
        </w:rPr>
      </w:pPr>
      <w:r>
        <w:rPr>
          <w:rFonts w:hint="eastAsia" w:ascii="宋体" w:hAnsi="宋体"/>
          <w:b/>
          <w:szCs w:val="21"/>
        </w:rPr>
        <w:t>二、全保时间：</w:t>
      </w:r>
      <w:r>
        <w:rPr>
          <w:rFonts w:hint="eastAsia" w:ascii="宋体" w:hAnsi="宋体"/>
          <w:bCs/>
          <w:szCs w:val="21"/>
        </w:rPr>
        <w:t>三年，自合同签订之日起。</w:t>
      </w:r>
    </w:p>
    <w:p w14:paraId="08F57FCB">
      <w:pPr>
        <w:spacing w:line="360" w:lineRule="exact"/>
        <w:ind w:firstLine="422" w:firstLineChars="200"/>
        <w:contextualSpacing/>
        <w:rPr>
          <w:rFonts w:ascii="宋体" w:hAnsi="宋体"/>
          <w:szCs w:val="21"/>
        </w:rPr>
      </w:pPr>
      <w:r>
        <w:rPr>
          <w:rFonts w:hint="eastAsia" w:ascii="宋体" w:hAnsi="宋体"/>
          <w:b/>
          <w:szCs w:val="21"/>
        </w:rPr>
        <w:t>三、保修公司资质：</w:t>
      </w:r>
      <w:r>
        <w:rPr>
          <w:rFonts w:hint="eastAsia" w:ascii="宋体" w:hAnsi="宋体"/>
          <w:szCs w:val="21"/>
        </w:rPr>
        <w:t>有国家注册认证的、并具有高端内镜设备维修技术水平的大型维修公司；公司应配有零配件齐全充足的配件仓库。</w:t>
      </w:r>
    </w:p>
    <w:p w14:paraId="31A0D045">
      <w:pPr>
        <w:spacing w:line="360" w:lineRule="exact"/>
        <w:ind w:firstLine="422" w:firstLineChars="200"/>
        <w:contextualSpacing/>
        <w:rPr>
          <w:rFonts w:ascii="宋体" w:hAnsi="宋体"/>
          <w:b/>
          <w:szCs w:val="21"/>
        </w:rPr>
      </w:pPr>
      <w:r>
        <w:rPr>
          <w:rFonts w:hint="eastAsia" w:ascii="宋体" w:hAnsi="宋体"/>
          <w:b/>
          <w:szCs w:val="21"/>
        </w:rPr>
        <w:t>四、维修服务形式：</w:t>
      </w:r>
      <w:bookmarkStart w:id="0" w:name="_GoBack"/>
      <w:bookmarkEnd w:id="0"/>
    </w:p>
    <w:p w14:paraId="26E99B52">
      <w:pPr>
        <w:spacing w:line="360" w:lineRule="exact"/>
        <w:ind w:firstLine="420" w:firstLineChars="200"/>
        <w:contextualSpacing/>
        <w:rPr>
          <w:rFonts w:ascii="宋体" w:hAnsi="宋体"/>
          <w:szCs w:val="21"/>
        </w:rPr>
      </w:pPr>
      <w:r>
        <w:rPr>
          <w:rFonts w:hint="eastAsia" w:ascii="宋体" w:hAnsi="宋体"/>
          <w:szCs w:val="21"/>
        </w:rPr>
        <w:t>购买全保服务。</w:t>
      </w:r>
    </w:p>
    <w:p w14:paraId="62E0EA7D">
      <w:pPr>
        <w:spacing w:line="360" w:lineRule="exact"/>
        <w:ind w:firstLine="422" w:firstLineChars="200"/>
        <w:contextualSpacing/>
        <w:rPr>
          <w:rFonts w:ascii="宋体" w:hAnsi="宋体"/>
          <w:b/>
          <w:szCs w:val="21"/>
        </w:rPr>
      </w:pPr>
      <w:r>
        <w:rPr>
          <w:rFonts w:hint="eastAsia" w:ascii="宋体" w:hAnsi="宋体"/>
          <w:b/>
          <w:szCs w:val="21"/>
        </w:rPr>
        <w:t>五、全保服务内容：</w:t>
      </w:r>
    </w:p>
    <w:p w14:paraId="719F3794">
      <w:pPr>
        <w:spacing w:line="360" w:lineRule="exact"/>
        <w:ind w:firstLine="420" w:firstLineChars="200"/>
        <w:contextualSpacing/>
        <w:rPr>
          <w:rFonts w:hint="eastAsia" w:ascii="宋体" w:hAnsi="宋体"/>
          <w:color w:val="auto"/>
          <w:szCs w:val="21"/>
        </w:rPr>
      </w:pPr>
      <w:r>
        <w:rPr>
          <w:rFonts w:ascii="宋体" w:hAnsi="宋体"/>
          <w:szCs w:val="21"/>
        </w:rPr>
        <w:t>1</w:t>
      </w:r>
      <w:r>
        <w:rPr>
          <w:rFonts w:hint="eastAsia" w:ascii="宋体" w:hAnsi="宋体"/>
          <w:szCs w:val="21"/>
        </w:rPr>
        <w:t>、保修</w:t>
      </w:r>
      <w:r>
        <w:rPr>
          <w:rFonts w:hint="eastAsia" w:ascii="宋体" w:hAnsi="宋体"/>
          <w:color w:val="auto"/>
          <w:szCs w:val="21"/>
        </w:rPr>
        <w:t>公司对全保内镜设备进行维修：自然损耗以及按照正规要求操作或清洗消毒的情况下发生的故障，保修公司要进行无条件及时维修。</w:t>
      </w:r>
    </w:p>
    <w:p w14:paraId="190D5CC8">
      <w:pPr>
        <w:spacing w:line="360" w:lineRule="exact"/>
        <w:ind w:firstLine="420" w:firstLineChars="200"/>
        <w:contextualSpacing/>
        <w:rPr>
          <w:rFonts w:ascii="宋体" w:hAnsi="宋体"/>
          <w:color w:val="auto"/>
          <w:szCs w:val="21"/>
        </w:rPr>
      </w:pPr>
      <w:r>
        <w:rPr>
          <w:rFonts w:ascii="宋体" w:hAnsi="宋体"/>
          <w:color w:val="auto"/>
          <w:szCs w:val="21"/>
        </w:rPr>
        <w:t>2</w:t>
      </w:r>
      <w:r>
        <w:rPr>
          <w:rFonts w:hint="eastAsia" w:ascii="宋体" w:hAnsi="宋体"/>
          <w:color w:val="auto"/>
          <w:szCs w:val="21"/>
        </w:rPr>
        <w:t>、保修公司必须提供所有维修内镜设备的零配件，包括</w:t>
      </w:r>
      <w:r>
        <w:rPr>
          <w:rFonts w:ascii="宋体" w:hAnsi="宋体"/>
          <w:color w:val="auto"/>
          <w:szCs w:val="21"/>
        </w:rPr>
        <w:t>CCD</w:t>
      </w:r>
      <w:r>
        <w:rPr>
          <w:rFonts w:hint="eastAsia" w:ascii="宋体" w:hAnsi="宋体"/>
          <w:color w:val="auto"/>
          <w:szCs w:val="21"/>
        </w:rPr>
        <w:t>、导光束、超声换能器等各种零配件。</w:t>
      </w:r>
      <w:r>
        <w:rPr>
          <w:rFonts w:hint="eastAsia" w:ascii="宋体" w:hAnsi="宋体"/>
          <w:color w:val="auto"/>
          <w:szCs w:val="21"/>
          <w:lang w:eastAsia="zh-CN"/>
        </w:rPr>
        <w:t>除</w:t>
      </w:r>
      <w:r>
        <w:rPr>
          <w:rFonts w:hint="eastAsia" w:ascii="宋体" w:hAnsi="宋体"/>
          <w:color w:val="auto"/>
          <w:szCs w:val="21"/>
        </w:rPr>
        <w:t>电缆线、水瓶、键盘、脚踏开关、治疗附件、光源灯泡、清洗配件等不在保修范围。</w:t>
      </w:r>
    </w:p>
    <w:p w14:paraId="2EE153F9">
      <w:pPr>
        <w:spacing w:line="360" w:lineRule="exact"/>
        <w:ind w:firstLine="420" w:firstLineChars="200"/>
        <w:contextualSpacing/>
        <w:rPr>
          <w:rFonts w:ascii="宋体" w:hAnsi="宋体"/>
          <w:color w:val="auto"/>
          <w:szCs w:val="21"/>
        </w:rPr>
      </w:pPr>
      <w:r>
        <w:rPr>
          <w:rFonts w:ascii="宋体" w:hAnsi="宋体"/>
          <w:color w:val="auto"/>
          <w:szCs w:val="21"/>
        </w:rPr>
        <w:t>3</w:t>
      </w:r>
      <w:r>
        <w:rPr>
          <w:rFonts w:hint="eastAsia" w:ascii="宋体" w:hAnsi="宋体"/>
          <w:color w:val="auto"/>
          <w:szCs w:val="21"/>
        </w:rPr>
        <w:t>、零配件供应要充足、及时。维修内镜设备时必须使用经合法渠道未拆封零配件，并优先运送零配件。</w:t>
      </w:r>
    </w:p>
    <w:p w14:paraId="4285D7CB">
      <w:pPr>
        <w:spacing w:line="360" w:lineRule="exact"/>
        <w:ind w:firstLine="420" w:firstLineChars="200"/>
        <w:contextualSpacing/>
        <w:rPr>
          <w:rFonts w:ascii="宋体" w:hAnsi="宋体"/>
          <w:color w:val="auto"/>
          <w:szCs w:val="21"/>
        </w:rPr>
      </w:pPr>
      <w:r>
        <w:rPr>
          <w:rFonts w:ascii="宋体" w:hAnsi="宋体"/>
          <w:color w:val="auto"/>
          <w:szCs w:val="21"/>
        </w:rPr>
        <w:t>4</w:t>
      </w:r>
      <w:r>
        <w:rPr>
          <w:rFonts w:hint="eastAsia" w:ascii="宋体" w:hAnsi="宋体"/>
          <w:color w:val="auto"/>
          <w:szCs w:val="21"/>
        </w:rPr>
        <w:t>、保修公司要及时维修故障内镜设备，保证24小时之内完成小维修，保证10个工作日内完成大维修。维保公司在接到我院的报修电话后，</w:t>
      </w:r>
      <w:r>
        <w:rPr>
          <w:rFonts w:hint="eastAsia" w:ascii="宋体" w:hAnsi="宋体"/>
          <w:color w:val="auto"/>
          <w:szCs w:val="21"/>
          <w:lang w:val="en-US" w:eastAsia="zh-CN"/>
        </w:rPr>
        <w:t>24小时</w:t>
      </w:r>
      <w:r>
        <w:rPr>
          <w:rFonts w:hint="eastAsia" w:ascii="宋体" w:hAnsi="宋体"/>
          <w:color w:val="auto"/>
          <w:szCs w:val="21"/>
        </w:rPr>
        <w:t>内将备用设备（同</w:t>
      </w:r>
      <w:r>
        <w:rPr>
          <w:rFonts w:hint="eastAsia" w:ascii="宋体" w:hAnsi="宋体"/>
          <w:color w:val="auto"/>
          <w:szCs w:val="21"/>
          <w:lang w:eastAsia="zh-CN"/>
        </w:rPr>
        <w:t>型号</w:t>
      </w:r>
      <w:r>
        <w:rPr>
          <w:rFonts w:hint="eastAsia" w:ascii="宋体" w:hAnsi="宋体"/>
          <w:color w:val="auto"/>
          <w:szCs w:val="21"/>
        </w:rPr>
        <w:t>镜子）寄给我院使用。我院享有优先获得维修及使用备用设备的权利</w:t>
      </w:r>
    </w:p>
    <w:p w14:paraId="212EFAE3">
      <w:pPr>
        <w:spacing w:line="360" w:lineRule="exact"/>
        <w:ind w:firstLine="420" w:firstLineChars="200"/>
        <w:contextualSpacing/>
        <w:rPr>
          <w:rFonts w:ascii="宋体" w:hAnsi="宋体"/>
          <w:color w:val="auto"/>
          <w:szCs w:val="21"/>
        </w:rPr>
      </w:pPr>
      <w:r>
        <w:rPr>
          <w:rFonts w:ascii="宋体" w:hAnsi="宋体"/>
          <w:color w:val="auto"/>
          <w:szCs w:val="21"/>
        </w:rPr>
        <w:t>5</w:t>
      </w:r>
      <w:r>
        <w:rPr>
          <w:rFonts w:hint="eastAsia" w:ascii="宋体" w:hAnsi="宋体"/>
          <w:color w:val="auto"/>
          <w:szCs w:val="21"/>
        </w:rPr>
        <w:t>、保修公司指派固定的工程师专门负责用户的内镜设备保养、维修和内镜操作、清洗培训等相关工作。</w:t>
      </w:r>
    </w:p>
    <w:p w14:paraId="7F8A1811">
      <w:pPr>
        <w:tabs>
          <w:tab w:val="left" w:pos="720"/>
          <w:tab w:val="left" w:pos="840"/>
        </w:tabs>
        <w:spacing w:line="360" w:lineRule="exact"/>
        <w:ind w:firstLine="420" w:firstLineChars="200"/>
        <w:rPr>
          <w:rFonts w:ascii="宋体" w:hAnsi="宋体"/>
          <w:color w:val="auto"/>
          <w:szCs w:val="21"/>
        </w:rPr>
      </w:pPr>
      <w:r>
        <w:rPr>
          <w:rFonts w:ascii="宋体" w:hAnsi="宋体"/>
          <w:color w:val="auto"/>
          <w:szCs w:val="21"/>
        </w:rPr>
        <w:t>6</w:t>
      </w:r>
      <w:r>
        <w:rPr>
          <w:rFonts w:hint="eastAsia" w:ascii="宋体" w:hAnsi="宋体"/>
          <w:color w:val="auto"/>
          <w:szCs w:val="21"/>
        </w:rPr>
        <w:t>、维修工程师提供每周</w:t>
      </w:r>
      <w:r>
        <w:rPr>
          <w:rFonts w:ascii="宋体" w:hAnsi="宋体"/>
          <w:color w:val="auto"/>
          <w:szCs w:val="21"/>
        </w:rPr>
        <w:t>24</w:t>
      </w:r>
      <w:r>
        <w:rPr>
          <w:rFonts w:hint="eastAsia" w:ascii="宋体" w:hAnsi="宋体"/>
          <w:color w:val="auto"/>
          <w:szCs w:val="21"/>
        </w:rPr>
        <w:t>小时×</w:t>
      </w:r>
      <w:r>
        <w:rPr>
          <w:rFonts w:ascii="宋体" w:hAnsi="宋体"/>
          <w:color w:val="auto"/>
          <w:szCs w:val="21"/>
        </w:rPr>
        <w:t>7</w:t>
      </w:r>
      <w:r>
        <w:rPr>
          <w:rFonts w:hint="eastAsia" w:ascii="宋体" w:hAnsi="宋体"/>
          <w:color w:val="auto"/>
          <w:szCs w:val="21"/>
        </w:rPr>
        <w:t>天的电话咨询服务。正常工作日时工程师保证在</w:t>
      </w:r>
      <w:r>
        <w:rPr>
          <w:rFonts w:hint="eastAsia" w:ascii="宋体" w:hAnsi="宋体"/>
          <w:color w:val="auto"/>
          <w:szCs w:val="21"/>
          <w:lang w:val="en-US" w:eastAsia="zh-CN"/>
        </w:rPr>
        <w:t>24</w:t>
      </w:r>
      <w:r>
        <w:rPr>
          <w:rFonts w:hint="eastAsia" w:ascii="宋体" w:hAnsi="宋体"/>
          <w:color w:val="auto"/>
          <w:szCs w:val="21"/>
        </w:rPr>
        <w:t>小时内提供现场维修服务。用户享有保修公司的优先派工权，免除保修合同期内所有人工费用。</w:t>
      </w:r>
    </w:p>
    <w:p w14:paraId="5CCA9E50">
      <w:pPr>
        <w:tabs>
          <w:tab w:val="left" w:pos="720"/>
          <w:tab w:val="left" w:pos="840"/>
        </w:tabs>
        <w:spacing w:line="360" w:lineRule="exact"/>
        <w:ind w:firstLine="420" w:firstLineChars="200"/>
        <w:rPr>
          <w:rFonts w:ascii="宋体" w:hAnsi="宋体"/>
          <w:color w:val="auto"/>
          <w:szCs w:val="21"/>
        </w:rPr>
      </w:pPr>
      <w:r>
        <w:rPr>
          <w:rFonts w:ascii="宋体" w:hAnsi="宋体"/>
          <w:color w:val="auto"/>
          <w:szCs w:val="21"/>
        </w:rPr>
        <w:t>7</w:t>
      </w:r>
      <w:r>
        <w:rPr>
          <w:rFonts w:hint="eastAsia" w:ascii="宋体" w:hAnsi="宋体"/>
          <w:color w:val="auto"/>
          <w:szCs w:val="21"/>
        </w:rPr>
        <w:t>、维修工程师要为用户提供每月一次的内镜设备巡检</w:t>
      </w:r>
      <w:r>
        <w:rPr>
          <w:rFonts w:hint="eastAsia" w:ascii="宋体" w:hAnsi="宋体"/>
          <w:color w:val="auto"/>
          <w:szCs w:val="21"/>
          <w:lang w:eastAsia="zh-CN"/>
        </w:rPr>
        <w:t>，每</w:t>
      </w:r>
      <w:r>
        <w:rPr>
          <w:rFonts w:hint="eastAsia" w:ascii="宋体" w:hAnsi="宋体"/>
          <w:color w:val="auto"/>
          <w:szCs w:val="21"/>
        </w:rPr>
        <w:t>三月一次定检：检查内镜设备的技术性能并保养设备，向用户提供书面保养维修意见。</w:t>
      </w:r>
    </w:p>
    <w:p w14:paraId="066C5551">
      <w:pPr>
        <w:tabs>
          <w:tab w:val="left" w:pos="720"/>
          <w:tab w:val="left" w:pos="840"/>
        </w:tabs>
        <w:spacing w:line="360" w:lineRule="exact"/>
        <w:ind w:firstLine="420" w:firstLineChars="200"/>
        <w:rPr>
          <w:rFonts w:ascii="宋体" w:hAnsi="宋体"/>
          <w:color w:val="auto"/>
          <w:szCs w:val="21"/>
        </w:rPr>
      </w:pPr>
      <w:r>
        <w:rPr>
          <w:rFonts w:ascii="宋体" w:hAnsi="宋体"/>
          <w:color w:val="auto"/>
          <w:szCs w:val="21"/>
        </w:rPr>
        <w:t>8</w:t>
      </w:r>
      <w:r>
        <w:rPr>
          <w:rFonts w:hint="eastAsia" w:ascii="宋体" w:hAnsi="宋体"/>
          <w:color w:val="auto"/>
          <w:szCs w:val="21"/>
        </w:rPr>
        <w:t>、维修工程师要每半年进行一次内镜设备详查和对周边设备开箱除尘清洁服务，并提交书面检查报告给医院存档。</w:t>
      </w:r>
    </w:p>
    <w:p w14:paraId="7F140CE5">
      <w:pPr>
        <w:tabs>
          <w:tab w:val="left" w:pos="720"/>
          <w:tab w:val="left" w:pos="840"/>
        </w:tabs>
        <w:spacing w:line="360" w:lineRule="exact"/>
        <w:ind w:firstLine="420" w:firstLineChars="200"/>
        <w:rPr>
          <w:rFonts w:ascii="宋体" w:hAnsi="宋体"/>
          <w:color w:val="auto"/>
          <w:szCs w:val="21"/>
        </w:rPr>
      </w:pPr>
      <w:r>
        <w:rPr>
          <w:rFonts w:ascii="宋体" w:hAnsi="宋体"/>
          <w:color w:val="auto"/>
          <w:szCs w:val="21"/>
        </w:rPr>
        <w:t>9</w:t>
      </w:r>
      <w:r>
        <w:rPr>
          <w:rFonts w:hint="eastAsia" w:ascii="宋体" w:hAnsi="宋体"/>
          <w:color w:val="auto"/>
          <w:szCs w:val="21"/>
        </w:rPr>
        <w:t>、内镜设备出现故障无法及时修复时，保修公司在设备出现故障的三天内提供备用设备给用户使用，用户享有优先获得备用品的权利。</w:t>
      </w:r>
    </w:p>
    <w:p w14:paraId="7CA8C5E4">
      <w:pPr>
        <w:tabs>
          <w:tab w:val="left" w:pos="720"/>
          <w:tab w:val="left" w:pos="840"/>
        </w:tabs>
        <w:spacing w:line="360" w:lineRule="exact"/>
        <w:ind w:firstLine="420" w:firstLineChars="200"/>
        <w:rPr>
          <w:rFonts w:ascii="宋体" w:hAnsi="宋体"/>
          <w:color w:val="auto"/>
          <w:szCs w:val="21"/>
        </w:rPr>
      </w:pPr>
      <w:r>
        <w:rPr>
          <w:rFonts w:ascii="宋体" w:hAnsi="宋体"/>
          <w:color w:val="auto"/>
          <w:szCs w:val="21"/>
        </w:rPr>
        <w:t>10</w:t>
      </w:r>
      <w:r>
        <w:rPr>
          <w:rFonts w:hint="eastAsia" w:ascii="宋体" w:hAnsi="宋体"/>
          <w:color w:val="auto"/>
          <w:szCs w:val="21"/>
        </w:rPr>
        <w:t>、保修公司要主动向用户提供内镜设备故障预防工具，如内镜先端保护套等。</w:t>
      </w:r>
    </w:p>
    <w:p w14:paraId="490930E4">
      <w:pPr>
        <w:tabs>
          <w:tab w:val="left" w:pos="720"/>
          <w:tab w:val="left" w:pos="840"/>
        </w:tabs>
        <w:spacing w:line="360" w:lineRule="exact"/>
        <w:ind w:firstLine="420" w:firstLineChars="200"/>
        <w:rPr>
          <w:rFonts w:hint="eastAsia" w:ascii="宋体" w:hAnsi="宋体" w:eastAsia="宋体"/>
          <w:color w:val="auto"/>
          <w:szCs w:val="21"/>
          <w:lang w:eastAsia="zh-CN"/>
        </w:rPr>
      </w:pPr>
      <w:r>
        <w:rPr>
          <w:rFonts w:ascii="宋体" w:hAnsi="宋体"/>
          <w:color w:val="auto"/>
          <w:szCs w:val="21"/>
        </w:rPr>
        <w:t>11</w:t>
      </w:r>
      <w:r>
        <w:rPr>
          <w:rFonts w:hint="eastAsia" w:ascii="宋体" w:hAnsi="宋体"/>
          <w:color w:val="auto"/>
          <w:szCs w:val="21"/>
        </w:rPr>
        <w:t>、保修公司要根据用户的需求，对相关内镜从业人员进行内镜、附件的操作使用、清洗消毒及保养维护常知提供院内免费培训</w:t>
      </w:r>
      <w:r>
        <w:rPr>
          <w:rFonts w:hint="eastAsia" w:ascii="宋体" w:hAnsi="宋体"/>
          <w:color w:val="auto"/>
          <w:szCs w:val="21"/>
          <w:lang w:eastAsia="zh-CN"/>
        </w:rPr>
        <w:t>，并出具培训记录。</w:t>
      </w:r>
    </w:p>
    <w:p w14:paraId="7DD0FEB1">
      <w:pPr>
        <w:tabs>
          <w:tab w:val="left" w:pos="720"/>
          <w:tab w:val="left" w:pos="840"/>
        </w:tabs>
        <w:spacing w:line="360" w:lineRule="exact"/>
        <w:ind w:firstLine="420" w:firstLineChars="200"/>
        <w:rPr>
          <w:rFonts w:ascii="宋体" w:hAnsi="宋体"/>
          <w:color w:val="auto"/>
          <w:szCs w:val="21"/>
        </w:rPr>
      </w:pPr>
      <w:r>
        <w:rPr>
          <w:rFonts w:ascii="宋体" w:hAnsi="宋体"/>
          <w:color w:val="auto"/>
          <w:szCs w:val="21"/>
        </w:rPr>
        <w:t>12</w:t>
      </w:r>
      <w:r>
        <w:rPr>
          <w:rFonts w:hint="eastAsia" w:ascii="宋体" w:hAnsi="宋体"/>
          <w:color w:val="auto"/>
          <w:szCs w:val="21"/>
        </w:rPr>
        <w:t>、维修公司完成每次内镜设备维修后要出具维修报告，应将保修单、维修报告书和内镜设备一起寄给用户。维修报告书应包括故障现象、实发故障、修理内容及备注等内容。维修公司每年底要将全年内镜设备维修次数及维修内容汇总成年度维修报告交用户存档。年度维修报告应分析全年内镜故障现象、原因并提出维护保养意见。</w:t>
      </w:r>
    </w:p>
    <w:p w14:paraId="0508E5F0">
      <w:pPr>
        <w:numPr>
          <w:ilvl w:val="0"/>
          <w:numId w:val="1"/>
        </w:numPr>
        <w:tabs>
          <w:tab w:val="left" w:pos="720"/>
          <w:tab w:val="left" w:pos="840"/>
        </w:tabs>
        <w:spacing w:line="360" w:lineRule="exact"/>
        <w:ind w:firstLine="420" w:firstLineChars="200"/>
        <w:rPr>
          <w:rFonts w:ascii="宋体" w:hAnsi="宋体"/>
          <w:color w:val="auto"/>
          <w:szCs w:val="21"/>
        </w:rPr>
      </w:pPr>
      <w:r>
        <w:rPr>
          <w:rFonts w:hint="eastAsia" w:ascii="宋体" w:hAnsi="宋体"/>
          <w:color w:val="auto"/>
          <w:szCs w:val="21"/>
        </w:rPr>
        <w:t>内镜设备邮寄费用：有故障的内镜设备由用户寄给维修公司维修，</w:t>
      </w:r>
      <w:r>
        <w:rPr>
          <w:rFonts w:hint="eastAsia" w:ascii="宋体" w:hAnsi="宋体"/>
          <w:color w:val="auto"/>
          <w:szCs w:val="21"/>
          <w:lang w:eastAsia="zh-CN"/>
        </w:rPr>
        <w:t>由维保公司</w:t>
      </w:r>
      <w:r>
        <w:rPr>
          <w:rFonts w:hint="eastAsia" w:ascii="宋体" w:hAnsi="宋体"/>
          <w:color w:val="auto"/>
          <w:szCs w:val="21"/>
        </w:rPr>
        <w:t>负责邮寄费用。修复后的内镜设备由维修公司寄回给用户，并负责邮寄费用。</w:t>
      </w:r>
    </w:p>
    <w:p w14:paraId="0E7806A0">
      <w:pPr>
        <w:pStyle w:val="2"/>
        <w:snapToGrid w:val="0"/>
        <w:spacing w:line="360" w:lineRule="exact"/>
        <w:ind w:firstLine="420"/>
        <w:jc w:val="left"/>
        <w:outlineLvl w:val="0"/>
        <w:rPr>
          <w:rFonts w:hint="eastAsia" w:ascii="Arial" w:hAnsi="Arial" w:cs="Arial"/>
        </w:rPr>
      </w:pPr>
      <w:r>
        <w:rPr>
          <w:rFonts w:hint="eastAsia" w:ascii="Arial" w:hAnsi="Arial" w:cs="Arial"/>
        </w:rPr>
        <w:t>14、报价要求：</w:t>
      </w:r>
    </w:p>
    <w:p w14:paraId="797A17C0">
      <w:pPr>
        <w:ind w:firstLine="420" w:firstLineChars="200"/>
        <w:rPr>
          <w:rFonts w:hint="eastAsia"/>
        </w:rPr>
      </w:pPr>
      <w:r>
        <w:rPr>
          <w:rFonts w:hint="eastAsia" w:ascii="Arial" w:hAnsi="Arial" w:cs="Arial"/>
        </w:rPr>
        <w:t>（1）</w:t>
      </w:r>
      <w:r>
        <w:rPr>
          <w:rFonts w:hint="eastAsia" w:ascii="Arial" w:hAnsi="Arial" w:cs="Arial"/>
          <w:lang w:eastAsia="zh-CN"/>
        </w:rPr>
        <w:t>报价</w:t>
      </w:r>
      <w:r>
        <w:rPr>
          <w:rFonts w:hint="eastAsia" w:ascii="Arial" w:hAnsi="Arial" w:cs="Arial"/>
        </w:rPr>
        <w:t>人应按所投的</w:t>
      </w:r>
      <w:r>
        <w:rPr>
          <w:rFonts w:hint="eastAsia" w:ascii="Arial" w:hAnsi="Arial" w:cs="Arial"/>
          <w:lang w:eastAsia="zh-CN"/>
        </w:rPr>
        <w:t>维保方案</w:t>
      </w:r>
      <w:r>
        <w:rPr>
          <w:rFonts w:hint="eastAsia" w:ascii="Arial" w:hAnsi="Arial" w:cs="Arial"/>
        </w:rPr>
        <w:t>进行报价，根据每年的全保维修服务进行报价，有报价明细表。</w:t>
      </w:r>
    </w:p>
    <w:p w14:paraId="48C01C27">
      <w:pPr>
        <w:pStyle w:val="2"/>
        <w:snapToGrid w:val="0"/>
        <w:spacing w:line="360" w:lineRule="exact"/>
        <w:ind w:firstLine="420"/>
        <w:jc w:val="left"/>
        <w:outlineLvl w:val="0"/>
        <w:rPr>
          <w:rFonts w:hint="eastAsia" w:ascii="Arial" w:hAnsi="Arial" w:cs="Arial"/>
        </w:rPr>
      </w:pPr>
      <w:r>
        <w:rPr>
          <w:rFonts w:hint="eastAsia" w:ascii="Arial" w:hAnsi="Arial" w:cs="Arial"/>
        </w:rPr>
        <w:t>（2）报价包括内镜全保维修服务的所有费用，包括更换问题部件、常规备件、所有维修工时、运输、劳务、管理、利润、税金、保险以及所有的不定因素的风险等。</w:t>
      </w:r>
    </w:p>
    <w:p w14:paraId="1D04AA0F">
      <w:pPr>
        <w:pStyle w:val="2"/>
        <w:snapToGrid w:val="0"/>
        <w:spacing w:line="360" w:lineRule="exact"/>
        <w:ind w:firstLine="420"/>
        <w:jc w:val="left"/>
        <w:outlineLvl w:val="0"/>
        <w:rPr>
          <w:rFonts w:hint="eastAsia" w:ascii="Arial" w:hAnsi="Arial" w:cs="Arial"/>
        </w:rPr>
      </w:pPr>
      <w:r>
        <w:rPr>
          <w:rFonts w:hint="eastAsia" w:ascii="Arial" w:hAnsi="Arial" w:cs="Arial"/>
        </w:rPr>
        <w:t>（3）</w:t>
      </w:r>
      <w:r>
        <w:rPr>
          <w:rFonts w:hint="eastAsia" w:ascii="Arial" w:hAnsi="Arial" w:cs="Arial"/>
          <w:lang w:eastAsia="zh-CN"/>
        </w:rPr>
        <w:t>报价</w:t>
      </w:r>
      <w:r>
        <w:rPr>
          <w:rFonts w:hint="eastAsia" w:ascii="Arial" w:hAnsi="Arial" w:cs="Arial"/>
        </w:rPr>
        <w:t>人应充分考虑本项目可能出现的任何报价风险，并承担由此造成的报价风险后果。</w:t>
      </w:r>
    </w:p>
    <w:p w14:paraId="07B8DAEB">
      <w:pPr>
        <w:rPr>
          <w:rFonts w:hint="eastAsia" w:ascii="宋体" w:hAnsi="宋体" w:eastAsia="宋体" w:cs="宋体"/>
          <w:color w:val="auto"/>
        </w:rPr>
      </w:pPr>
      <w:r>
        <w:rPr>
          <w:rFonts w:hint="eastAsia" w:ascii="宋体" w:hAnsi="宋体" w:eastAsia="宋体" w:cs="宋体"/>
          <w:color w:val="auto"/>
        </w:rPr>
        <w:br w:type="page"/>
      </w:r>
    </w:p>
    <w:p w14:paraId="13AD553B">
      <w:pPr>
        <w:jc w:val="center"/>
        <w:rPr>
          <w:rFonts w:hint="eastAsia" w:ascii="宋体" w:hAnsi="宋体" w:eastAsia="宋体" w:cs="宋体"/>
          <w:color w:val="auto"/>
          <w:lang w:eastAsia="zh-CN"/>
        </w:rPr>
      </w:pPr>
      <w:r>
        <w:rPr>
          <w:rFonts w:hint="eastAsia" w:ascii="宋体" w:hAnsi="宋体" w:cs="宋体"/>
          <w:color w:val="auto"/>
          <w:lang w:eastAsia="zh-CN"/>
        </w:rPr>
        <w:t>内镜中心维保设备清单汇总</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6334"/>
      </w:tblGrid>
      <w:tr w14:paraId="7E29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14:paraId="1BD42D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设备名称</w:t>
            </w:r>
          </w:p>
        </w:tc>
        <w:tc>
          <w:tcPr>
            <w:tcW w:w="6334" w:type="dxa"/>
            <w:vAlign w:val="center"/>
          </w:tcPr>
          <w:p w14:paraId="21F723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w:t>
            </w:r>
          </w:p>
        </w:tc>
      </w:tr>
      <w:tr w14:paraId="7D79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14:paraId="05671CA2">
            <w:pPr>
              <w:keepNext w:val="0"/>
              <w:keepLines w:val="0"/>
              <w:widowControl/>
              <w:suppressLineNumbers w:val="0"/>
              <w:jc w:val="left"/>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高清电子胃镜系统加4条胃镜</w:t>
            </w:r>
          </w:p>
        </w:tc>
        <w:tc>
          <w:tcPr>
            <w:tcW w:w="6334" w:type="dxa"/>
            <w:vAlign w:val="center"/>
          </w:tcPr>
          <w:p w14:paraId="435BA7BB">
            <w:pPr>
              <w:keepNext w:val="0"/>
              <w:keepLines w:val="0"/>
              <w:widowControl/>
              <w:suppressLineNumbers w:val="0"/>
              <w:jc w:val="left"/>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CV-290/CLV290SL/GIF-H260Z/GIF-H290/GIF-Q260J</w:t>
            </w:r>
          </w:p>
        </w:tc>
      </w:tr>
      <w:tr w14:paraId="37C1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14:paraId="6670A90A">
            <w:pPr>
              <w:keepNext w:val="0"/>
              <w:keepLines w:val="0"/>
              <w:widowControl/>
              <w:suppressLineNumbers w:val="0"/>
              <w:jc w:val="left"/>
              <w:textAlignment w:val="center"/>
              <w:rPr>
                <w:rFonts w:hint="eastAsia"/>
                <w:vertAlign w:val="baseline"/>
                <w:lang w:eastAsia="zh-CN"/>
              </w:rPr>
            </w:pPr>
            <w:r>
              <w:rPr>
                <w:rStyle w:val="7"/>
                <w:lang w:val="en-US" w:eastAsia="zh-CN" w:bidi="ar"/>
              </w:rPr>
              <w:t>电子结肠镜系统加</w:t>
            </w:r>
            <w:r>
              <w:rPr>
                <w:rStyle w:val="8"/>
                <w:rFonts w:eastAsia="宋体"/>
                <w:lang w:val="en-US" w:eastAsia="zh-CN" w:bidi="ar"/>
              </w:rPr>
              <w:t>2</w:t>
            </w:r>
            <w:r>
              <w:rPr>
                <w:rStyle w:val="7"/>
                <w:lang w:val="en-US" w:eastAsia="zh-CN" w:bidi="ar"/>
              </w:rPr>
              <w:t>条结肠镜</w:t>
            </w:r>
          </w:p>
        </w:tc>
        <w:tc>
          <w:tcPr>
            <w:tcW w:w="6334" w:type="dxa"/>
            <w:vAlign w:val="center"/>
          </w:tcPr>
          <w:p w14:paraId="2FF21571">
            <w:pPr>
              <w:keepNext w:val="0"/>
              <w:keepLines w:val="0"/>
              <w:widowControl/>
              <w:suppressLineNumbers w:val="0"/>
              <w:jc w:val="left"/>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CV-290/CLV290SL/CF-H290I</w:t>
            </w:r>
          </w:p>
        </w:tc>
      </w:tr>
      <w:tr w14:paraId="18D6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14:paraId="1EFA3D30">
            <w:pPr>
              <w:keepNext w:val="0"/>
              <w:keepLines w:val="0"/>
              <w:widowControl/>
              <w:suppressLineNumbers w:val="0"/>
              <w:jc w:val="left"/>
              <w:textAlignment w:val="center"/>
              <w:rPr>
                <w:rFonts w:hint="eastAsia"/>
                <w:vertAlign w:val="baseline"/>
                <w:lang w:eastAsia="zh-CN"/>
              </w:rPr>
            </w:pPr>
            <w:r>
              <w:rPr>
                <w:rStyle w:val="7"/>
                <w:lang w:val="en-US" w:eastAsia="zh-CN" w:bidi="ar"/>
              </w:rPr>
              <w:t>电子十二指肠镜</w:t>
            </w:r>
            <w:r>
              <w:rPr>
                <w:rStyle w:val="8"/>
                <w:rFonts w:eastAsia="宋体"/>
                <w:lang w:val="en-US" w:eastAsia="zh-CN" w:bidi="ar"/>
              </w:rPr>
              <w:t>1</w:t>
            </w:r>
            <w:r>
              <w:rPr>
                <w:rStyle w:val="7"/>
                <w:lang w:val="en-US" w:eastAsia="zh-CN" w:bidi="ar"/>
              </w:rPr>
              <w:t>根（含主机系统</w:t>
            </w:r>
            <w:r>
              <w:rPr>
                <w:rStyle w:val="8"/>
                <w:rFonts w:eastAsia="宋体"/>
                <w:lang w:val="en-US" w:eastAsia="zh-CN" w:bidi="ar"/>
              </w:rPr>
              <w:t>1</w:t>
            </w:r>
            <w:r>
              <w:rPr>
                <w:rStyle w:val="7"/>
                <w:lang w:val="en-US" w:eastAsia="zh-CN" w:bidi="ar"/>
              </w:rPr>
              <w:t>套）</w:t>
            </w:r>
          </w:p>
        </w:tc>
        <w:tc>
          <w:tcPr>
            <w:tcW w:w="6334" w:type="dxa"/>
            <w:vAlign w:val="center"/>
          </w:tcPr>
          <w:p w14:paraId="098B6381">
            <w:pPr>
              <w:keepNext w:val="0"/>
              <w:keepLines w:val="0"/>
              <w:widowControl/>
              <w:suppressLineNumbers w:val="0"/>
              <w:jc w:val="left"/>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CV-290/CLV-290SL/TJF-260V</w:t>
            </w:r>
          </w:p>
        </w:tc>
      </w:tr>
      <w:tr w14:paraId="3760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gridSpan w:val="2"/>
            <w:vAlign w:val="center"/>
          </w:tcPr>
          <w:p w14:paraId="114E7A8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bl>
    <w:p w14:paraId="5BD16A93">
      <w:pPr>
        <w:rPr>
          <w:rFonts w:hint="eastAsia"/>
          <w:lang w:val="en-US" w:eastAsia="zh-CN"/>
        </w:rPr>
      </w:pPr>
      <w:r>
        <w:rPr>
          <w:rFonts w:hint="eastAsia"/>
          <w:lang w:eastAsia="zh-CN"/>
        </w:rPr>
        <w:t>其中包含</w:t>
      </w:r>
      <w:r>
        <w:rPr>
          <w:rFonts w:hint="eastAsia"/>
          <w:lang w:val="en-US" w:eastAsia="zh-CN"/>
        </w:rPr>
        <w:t>3套主机及</w:t>
      </w:r>
      <w:r>
        <w:rPr>
          <w:rFonts w:hint="eastAsia"/>
          <w:lang w:eastAsia="zh-CN"/>
        </w:rPr>
        <w:t>镜子</w:t>
      </w:r>
      <w:r>
        <w:rPr>
          <w:rFonts w:hint="eastAsia"/>
          <w:lang w:val="en-US" w:eastAsia="zh-CN"/>
        </w:rPr>
        <w:t>7根镜子，镜子型号如下：</w:t>
      </w:r>
    </w:p>
    <w:tbl>
      <w:tblPr>
        <w:tblStyle w:val="4"/>
        <w:tblpPr w:leftFromText="180" w:rightFromText="180" w:vertAnchor="text" w:horzAnchor="page" w:tblpX="1756" w:tblpY="184"/>
        <w:tblOverlap w:val="never"/>
        <w:tblW w:w="8437" w:type="dxa"/>
        <w:tblCellSpacing w:w="0" w:type="dxa"/>
        <w:tblInd w:w="0" w:type="dxa"/>
        <w:shd w:val="clear" w:color="auto" w:fill="auto"/>
        <w:tblLayout w:type="autofit"/>
        <w:tblCellMar>
          <w:top w:w="0" w:type="dxa"/>
          <w:left w:w="0" w:type="dxa"/>
          <w:bottom w:w="0" w:type="dxa"/>
          <w:right w:w="0" w:type="dxa"/>
        </w:tblCellMar>
      </w:tblPr>
      <w:tblGrid>
        <w:gridCol w:w="1687"/>
        <w:gridCol w:w="4615"/>
        <w:gridCol w:w="2135"/>
      </w:tblGrid>
      <w:tr w14:paraId="265C730B">
        <w:tblPrEx>
          <w:shd w:val="clear" w:color="auto" w:fill="auto"/>
          <w:tblCellMar>
            <w:top w:w="0" w:type="dxa"/>
            <w:left w:w="0" w:type="dxa"/>
            <w:bottom w:w="0" w:type="dxa"/>
            <w:right w:w="0" w:type="dxa"/>
          </w:tblCellMar>
        </w:tblPrEx>
        <w:trPr>
          <w:trHeight w:val="560" w:hRule="atLeast"/>
          <w:tblCellSpacing w:w="0" w:type="dxa"/>
        </w:trPr>
        <w:tc>
          <w:tcPr>
            <w:tcW w:w="1687" w:type="dxa"/>
            <w:tcBorders>
              <w:top w:val="single" w:color="000000" w:sz="6" w:space="0"/>
              <w:left w:val="single" w:color="000000" w:sz="6" w:space="0"/>
              <w:bottom w:val="single" w:color="000000" w:sz="6" w:space="0"/>
              <w:right w:val="single" w:color="000000" w:sz="6" w:space="0"/>
            </w:tcBorders>
            <w:shd w:val="clear" w:color="auto" w:fill="FFD966"/>
            <w:tcMar>
              <w:top w:w="20" w:type="dxa"/>
              <w:left w:w="20" w:type="dxa"/>
              <w:bottom w:w="72" w:type="dxa"/>
              <w:right w:w="20" w:type="dxa"/>
            </w:tcMar>
            <w:vAlign w:val="center"/>
          </w:tcPr>
          <w:p w14:paraId="0B064138">
            <w:pPr>
              <w:pStyle w:val="3"/>
              <w:keepNext w:val="0"/>
              <w:keepLines w:val="0"/>
              <w:widowControl/>
              <w:suppressLineNumbers w:val="0"/>
              <w:rPr>
                <w:rFonts w:hint="eastAsia" w:eastAsiaTheme="minorEastAsia"/>
                <w:lang w:eastAsia="zh-CN"/>
              </w:rPr>
            </w:pPr>
            <w:r>
              <w:rPr>
                <w:rFonts w:hint="eastAsia"/>
                <w:lang w:eastAsia="zh-CN"/>
              </w:rPr>
              <w:t>名称</w:t>
            </w:r>
          </w:p>
        </w:tc>
        <w:tc>
          <w:tcPr>
            <w:tcW w:w="4615" w:type="dxa"/>
            <w:tcBorders>
              <w:top w:val="single" w:color="000000" w:sz="6" w:space="0"/>
              <w:left w:val="single" w:color="000000" w:sz="6" w:space="0"/>
              <w:bottom w:val="single" w:color="000000" w:sz="6" w:space="0"/>
              <w:right w:val="single" w:color="000000" w:sz="6" w:space="0"/>
            </w:tcBorders>
            <w:shd w:val="clear" w:color="auto" w:fill="FFD966"/>
            <w:tcMar>
              <w:top w:w="20" w:type="dxa"/>
              <w:left w:w="20" w:type="dxa"/>
              <w:bottom w:w="72" w:type="dxa"/>
              <w:right w:w="20" w:type="dxa"/>
            </w:tcMar>
            <w:vAlign w:val="center"/>
          </w:tcPr>
          <w:p w14:paraId="3DEF7E13">
            <w:pPr>
              <w:pStyle w:val="3"/>
              <w:keepNext w:val="0"/>
              <w:keepLines w:val="0"/>
              <w:widowControl/>
              <w:suppressLineNumbers w:val="0"/>
            </w:pPr>
            <w:r>
              <w:rPr>
                <w:rFonts w:hint="default" w:ascii="Arial" w:hAnsi="Arial" w:cs="Arial"/>
                <w:b/>
                <w:bCs/>
                <w:color w:val="000000"/>
                <w:sz w:val="18"/>
                <w:szCs w:val="18"/>
              </w:rPr>
              <w:t>型号</w:t>
            </w:r>
          </w:p>
        </w:tc>
        <w:tc>
          <w:tcPr>
            <w:tcW w:w="2135" w:type="dxa"/>
            <w:tcBorders>
              <w:top w:val="single" w:color="000000" w:sz="6" w:space="0"/>
              <w:left w:val="single" w:color="000000" w:sz="6" w:space="0"/>
              <w:bottom w:val="single" w:color="000000" w:sz="6" w:space="0"/>
              <w:right w:val="single" w:color="000000" w:sz="6" w:space="0"/>
            </w:tcBorders>
            <w:shd w:val="clear" w:color="auto" w:fill="FFD966"/>
            <w:tcMar>
              <w:top w:w="20" w:type="dxa"/>
              <w:left w:w="20" w:type="dxa"/>
              <w:bottom w:w="72" w:type="dxa"/>
              <w:right w:w="20" w:type="dxa"/>
            </w:tcMar>
            <w:vAlign w:val="center"/>
          </w:tcPr>
          <w:p w14:paraId="7E04408F">
            <w:pPr>
              <w:pStyle w:val="3"/>
              <w:keepNext w:val="0"/>
              <w:keepLines w:val="0"/>
              <w:widowControl/>
              <w:suppressLineNumbers w:val="0"/>
            </w:pPr>
            <w:r>
              <w:rPr>
                <w:rFonts w:hint="default" w:ascii="Arial" w:hAnsi="Arial" w:cs="Arial"/>
                <w:b/>
                <w:bCs/>
                <w:color w:val="000000"/>
                <w:sz w:val="18"/>
                <w:szCs w:val="18"/>
              </w:rPr>
              <w:t>机身号码</w:t>
            </w:r>
          </w:p>
        </w:tc>
      </w:tr>
      <w:tr w14:paraId="016D555F">
        <w:tblPrEx>
          <w:tblCellMar>
            <w:top w:w="0" w:type="dxa"/>
            <w:left w:w="0" w:type="dxa"/>
            <w:bottom w:w="0" w:type="dxa"/>
            <w:right w:w="0" w:type="dxa"/>
          </w:tblCellMar>
        </w:tblPrEx>
        <w:trPr>
          <w:trHeight w:val="800" w:hRule="atLeast"/>
          <w:tblCellSpacing w:w="0" w:type="dxa"/>
        </w:trPr>
        <w:tc>
          <w:tcPr>
            <w:tcW w:w="1687"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13BAF56F">
            <w:pPr>
              <w:pStyle w:val="3"/>
              <w:keepNext w:val="0"/>
              <w:keepLines w:val="0"/>
              <w:widowControl/>
              <w:suppressLineNumbers w:val="0"/>
              <w:rPr>
                <w:rFonts w:hint="eastAsia" w:eastAsiaTheme="minorEastAsia"/>
                <w:sz w:val="21"/>
                <w:szCs w:val="21"/>
                <w:lang w:eastAsia="zh-CN"/>
              </w:rPr>
            </w:pPr>
            <w:r>
              <w:rPr>
                <w:rFonts w:hint="eastAsia"/>
                <w:sz w:val="21"/>
                <w:szCs w:val="21"/>
                <w:lang w:eastAsia="zh-CN"/>
              </w:rPr>
              <w:t>胃镜</w:t>
            </w:r>
          </w:p>
        </w:tc>
        <w:tc>
          <w:tcPr>
            <w:tcW w:w="4615"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727EC62C">
            <w:pPr>
              <w:pStyle w:val="3"/>
              <w:keepNext w:val="0"/>
              <w:keepLines w:val="0"/>
              <w:widowControl/>
              <w:suppressLineNumbers w:val="0"/>
              <w:rPr>
                <w:sz w:val="21"/>
                <w:szCs w:val="21"/>
              </w:rPr>
            </w:pPr>
            <w:r>
              <w:rPr>
                <w:rFonts w:hint="eastAsia" w:ascii="微软雅黑" w:hAnsi="微软雅黑" w:eastAsia="微软雅黑" w:cs="微软雅黑"/>
                <w:color w:val="000000"/>
                <w:sz w:val="21"/>
                <w:szCs w:val="21"/>
              </w:rPr>
              <w:t>GIF-Q260J</w:t>
            </w:r>
          </w:p>
        </w:tc>
        <w:tc>
          <w:tcPr>
            <w:tcW w:w="2135"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26E37BC1">
            <w:pPr>
              <w:pStyle w:val="3"/>
              <w:keepNext w:val="0"/>
              <w:keepLines w:val="0"/>
              <w:widowControl/>
              <w:suppressLineNumbers w:val="0"/>
              <w:rPr>
                <w:sz w:val="21"/>
                <w:szCs w:val="21"/>
              </w:rPr>
            </w:pPr>
            <w:r>
              <w:rPr>
                <w:rFonts w:hint="eastAsia" w:ascii="微软雅黑" w:hAnsi="微软雅黑" w:eastAsia="微软雅黑" w:cs="微软雅黑"/>
                <w:color w:val="000000"/>
                <w:sz w:val="21"/>
                <w:szCs w:val="21"/>
              </w:rPr>
              <w:t>2826267</w:t>
            </w:r>
          </w:p>
        </w:tc>
      </w:tr>
      <w:tr w14:paraId="65FAA7BB">
        <w:tblPrEx>
          <w:tblCellMar>
            <w:top w:w="0" w:type="dxa"/>
            <w:left w:w="0" w:type="dxa"/>
            <w:bottom w:w="0" w:type="dxa"/>
            <w:right w:w="0" w:type="dxa"/>
          </w:tblCellMar>
        </w:tblPrEx>
        <w:trPr>
          <w:trHeight w:val="540" w:hRule="atLeast"/>
          <w:tblCellSpacing w:w="0" w:type="dxa"/>
        </w:trPr>
        <w:tc>
          <w:tcPr>
            <w:tcW w:w="1687"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139B5168">
            <w:pPr>
              <w:keepNext w:val="0"/>
              <w:keepLines w:val="0"/>
              <w:widowControl/>
              <w:suppressLineNumbers w:val="0"/>
              <w:rPr>
                <w:sz w:val="21"/>
                <w:szCs w:val="21"/>
              </w:rPr>
            </w:pPr>
            <w:r>
              <w:rPr>
                <w:rFonts w:hint="eastAsia"/>
                <w:sz w:val="21"/>
                <w:szCs w:val="21"/>
                <w:lang w:eastAsia="zh-CN"/>
              </w:rPr>
              <w:t>胃镜</w:t>
            </w:r>
          </w:p>
        </w:tc>
        <w:tc>
          <w:tcPr>
            <w:tcW w:w="4615"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5220F4FC">
            <w:pPr>
              <w:pStyle w:val="3"/>
              <w:keepNext w:val="0"/>
              <w:keepLines w:val="0"/>
              <w:widowControl/>
              <w:suppressLineNumbers w:val="0"/>
              <w:rPr>
                <w:sz w:val="21"/>
                <w:szCs w:val="21"/>
              </w:rPr>
            </w:pPr>
            <w:r>
              <w:rPr>
                <w:rFonts w:hint="eastAsia" w:ascii="微软雅黑" w:hAnsi="微软雅黑" w:eastAsia="微软雅黑" w:cs="微软雅黑"/>
                <w:color w:val="000000"/>
                <w:sz w:val="21"/>
                <w:szCs w:val="21"/>
              </w:rPr>
              <w:t>GIF-H260Z</w:t>
            </w:r>
          </w:p>
        </w:tc>
        <w:tc>
          <w:tcPr>
            <w:tcW w:w="2135"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5ECC747B">
            <w:pPr>
              <w:pStyle w:val="3"/>
              <w:keepNext w:val="0"/>
              <w:keepLines w:val="0"/>
              <w:widowControl/>
              <w:suppressLineNumbers w:val="0"/>
              <w:rPr>
                <w:sz w:val="21"/>
                <w:szCs w:val="21"/>
              </w:rPr>
            </w:pPr>
            <w:r>
              <w:rPr>
                <w:rFonts w:hint="eastAsia" w:ascii="微软雅黑" w:hAnsi="微软雅黑" w:eastAsia="微软雅黑" w:cs="微软雅黑"/>
                <w:color w:val="000000"/>
                <w:sz w:val="21"/>
                <w:szCs w:val="21"/>
              </w:rPr>
              <w:t>2835232</w:t>
            </w:r>
          </w:p>
        </w:tc>
      </w:tr>
      <w:tr w14:paraId="7B0387FE">
        <w:tblPrEx>
          <w:tblCellMar>
            <w:top w:w="0" w:type="dxa"/>
            <w:left w:w="0" w:type="dxa"/>
            <w:bottom w:w="0" w:type="dxa"/>
            <w:right w:w="0" w:type="dxa"/>
          </w:tblCellMar>
        </w:tblPrEx>
        <w:trPr>
          <w:trHeight w:val="560" w:hRule="atLeast"/>
          <w:tblCellSpacing w:w="0" w:type="dxa"/>
        </w:trPr>
        <w:tc>
          <w:tcPr>
            <w:tcW w:w="1687"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7DCA335B">
            <w:pPr>
              <w:keepNext w:val="0"/>
              <w:keepLines w:val="0"/>
              <w:widowControl/>
              <w:suppressLineNumbers w:val="0"/>
              <w:rPr>
                <w:sz w:val="21"/>
                <w:szCs w:val="21"/>
              </w:rPr>
            </w:pPr>
            <w:r>
              <w:rPr>
                <w:rFonts w:hint="eastAsia"/>
                <w:sz w:val="21"/>
                <w:szCs w:val="21"/>
                <w:lang w:eastAsia="zh-CN"/>
              </w:rPr>
              <w:t>胃镜</w:t>
            </w:r>
          </w:p>
        </w:tc>
        <w:tc>
          <w:tcPr>
            <w:tcW w:w="4615"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624A5B76">
            <w:pPr>
              <w:pStyle w:val="3"/>
              <w:keepNext w:val="0"/>
              <w:keepLines w:val="0"/>
              <w:widowControl/>
              <w:suppressLineNumbers w:val="0"/>
              <w:rPr>
                <w:sz w:val="21"/>
                <w:szCs w:val="21"/>
              </w:rPr>
            </w:pPr>
            <w:r>
              <w:rPr>
                <w:rFonts w:hint="eastAsia" w:ascii="微软雅黑" w:hAnsi="微软雅黑" w:eastAsia="微软雅黑" w:cs="微软雅黑"/>
                <w:color w:val="000000"/>
                <w:sz w:val="21"/>
                <w:szCs w:val="21"/>
              </w:rPr>
              <w:t>GIF-H290</w:t>
            </w:r>
          </w:p>
        </w:tc>
        <w:tc>
          <w:tcPr>
            <w:tcW w:w="2135"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4D130CEF">
            <w:pPr>
              <w:pStyle w:val="3"/>
              <w:keepNext w:val="0"/>
              <w:keepLines w:val="0"/>
              <w:widowControl/>
              <w:suppressLineNumbers w:val="0"/>
              <w:rPr>
                <w:sz w:val="21"/>
                <w:szCs w:val="21"/>
              </w:rPr>
            </w:pPr>
            <w:r>
              <w:rPr>
                <w:rFonts w:hint="eastAsia" w:ascii="微软雅黑" w:hAnsi="微软雅黑" w:eastAsia="微软雅黑" w:cs="微软雅黑"/>
                <w:color w:val="000000"/>
                <w:sz w:val="21"/>
                <w:szCs w:val="21"/>
              </w:rPr>
              <w:t>2848852</w:t>
            </w:r>
          </w:p>
        </w:tc>
      </w:tr>
      <w:tr w14:paraId="15317EC2">
        <w:tblPrEx>
          <w:tblCellMar>
            <w:top w:w="0" w:type="dxa"/>
            <w:left w:w="0" w:type="dxa"/>
            <w:bottom w:w="0" w:type="dxa"/>
            <w:right w:w="0" w:type="dxa"/>
          </w:tblCellMar>
        </w:tblPrEx>
        <w:trPr>
          <w:trHeight w:val="620" w:hRule="atLeast"/>
          <w:tblCellSpacing w:w="0" w:type="dxa"/>
        </w:trPr>
        <w:tc>
          <w:tcPr>
            <w:tcW w:w="1687"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017FBAAC">
            <w:pPr>
              <w:pStyle w:val="3"/>
              <w:keepNext w:val="0"/>
              <w:keepLines w:val="0"/>
              <w:widowControl/>
              <w:suppressLineNumbers w:val="0"/>
              <w:rPr>
                <w:rFonts w:hint="eastAsia" w:eastAsiaTheme="minorEastAsia"/>
                <w:sz w:val="21"/>
                <w:szCs w:val="21"/>
                <w:lang w:eastAsia="zh-CN"/>
              </w:rPr>
            </w:pPr>
            <w:r>
              <w:rPr>
                <w:rFonts w:hint="eastAsia"/>
                <w:sz w:val="21"/>
                <w:szCs w:val="21"/>
                <w:lang w:eastAsia="zh-CN"/>
              </w:rPr>
              <w:t>十二指肠镜</w:t>
            </w:r>
          </w:p>
        </w:tc>
        <w:tc>
          <w:tcPr>
            <w:tcW w:w="4615"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622463A2">
            <w:pPr>
              <w:pStyle w:val="3"/>
              <w:keepNext w:val="0"/>
              <w:keepLines w:val="0"/>
              <w:widowControl/>
              <w:suppressLineNumbers w:val="0"/>
              <w:rPr>
                <w:sz w:val="21"/>
                <w:szCs w:val="21"/>
              </w:rPr>
            </w:pPr>
            <w:r>
              <w:rPr>
                <w:rFonts w:hint="eastAsia" w:ascii="微软雅黑" w:hAnsi="微软雅黑" w:eastAsia="微软雅黑" w:cs="微软雅黑"/>
                <w:color w:val="000000"/>
                <w:sz w:val="21"/>
                <w:szCs w:val="21"/>
              </w:rPr>
              <w:t>TJF-260V</w:t>
            </w:r>
          </w:p>
        </w:tc>
        <w:tc>
          <w:tcPr>
            <w:tcW w:w="2135"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0ECC773A">
            <w:pPr>
              <w:pStyle w:val="3"/>
              <w:keepNext w:val="0"/>
              <w:keepLines w:val="0"/>
              <w:widowControl/>
              <w:suppressLineNumbers w:val="0"/>
              <w:rPr>
                <w:sz w:val="21"/>
                <w:szCs w:val="21"/>
              </w:rPr>
            </w:pPr>
            <w:r>
              <w:rPr>
                <w:rFonts w:hint="eastAsia" w:ascii="微软雅黑" w:hAnsi="微软雅黑" w:eastAsia="微软雅黑" w:cs="微软雅黑"/>
                <w:color w:val="000000"/>
                <w:sz w:val="21"/>
                <w:szCs w:val="21"/>
              </w:rPr>
              <w:t>2824192</w:t>
            </w:r>
          </w:p>
        </w:tc>
      </w:tr>
      <w:tr w14:paraId="3FDC440C">
        <w:tblPrEx>
          <w:tblCellMar>
            <w:top w:w="0" w:type="dxa"/>
            <w:left w:w="0" w:type="dxa"/>
            <w:bottom w:w="0" w:type="dxa"/>
            <w:right w:w="0" w:type="dxa"/>
          </w:tblCellMar>
        </w:tblPrEx>
        <w:trPr>
          <w:trHeight w:val="700" w:hRule="atLeast"/>
          <w:tblCellSpacing w:w="0" w:type="dxa"/>
        </w:trPr>
        <w:tc>
          <w:tcPr>
            <w:tcW w:w="1687"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574ADA6C">
            <w:pPr>
              <w:pStyle w:val="3"/>
              <w:keepNext w:val="0"/>
              <w:keepLines w:val="0"/>
              <w:widowControl/>
              <w:suppressLineNumbers w:val="0"/>
              <w:rPr>
                <w:sz w:val="21"/>
                <w:szCs w:val="21"/>
              </w:rPr>
            </w:pPr>
            <w:r>
              <w:rPr>
                <w:rFonts w:hint="eastAsia"/>
                <w:sz w:val="21"/>
                <w:szCs w:val="21"/>
                <w:lang w:eastAsia="zh-CN"/>
              </w:rPr>
              <w:t>胃镜</w:t>
            </w:r>
          </w:p>
        </w:tc>
        <w:tc>
          <w:tcPr>
            <w:tcW w:w="4615"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3DFE9F3F">
            <w:pPr>
              <w:pStyle w:val="3"/>
              <w:keepNext w:val="0"/>
              <w:keepLines w:val="0"/>
              <w:widowControl/>
              <w:suppressLineNumbers w:val="0"/>
              <w:rPr>
                <w:sz w:val="21"/>
                <w:szCs w:val="21"/>
              </w:rPr>
            </w:pPr>
            <w:r>
              <w:rPr>
                <w:rFonts w:hint="eastAsia" w:ascii="微软雅黑" w:hAnsi="微软雅黑" w:eastAsia="微软雅黑" w:cs="微软雅黑"/>
                <w:color w:val="000000"/>
                <w:sz w:val="21"/>
                <w:szCs w:val="21"/>
              </w:rPr>
              <w:t>GIF-H290</w:t>
            </w:r>
          </w:p>
        </w:tc>
        <w:tc>
          <w:tcPr>
            <w:tcW w:w="2135"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0E19C341">
            <w:pPr>
              <w:pStyle w:val="3"/>
              <w:keepNext w:val="0"/>
              <w:keepLines w:val="0"/>
              <w:widowControl/>
              <w:suppressLineNumbers w:val="0"/>
              <w:rPr>
                <w:sz w:val="21"/>
                <w:szCs w:val="21"/>
              </w:rPr>
            </w:pPr>
            <w:r>
              <w:rPr>
                <w:rFonts w:hint="eastAsia" w:ascii="微软雅黑" w:hAnsi="微软雅黑" w:eastAsia="微软雅黑" w:cs="微软雅黑"/>
                <w:color w:val="000000"/>
                <w:sz w:val="21"/>
                <w:szCs w:val="21"/>
              </w:rPr>
              <w:t>2848848</w:t>
            </w:r>
          </w:p>
        </w:tc>
      </w:tr>
      <w:tr w14:paraId="3C53C457">
        <w:tblPrEx>
          <w:tblCellMar>
            <w:top w:w="0" w:type="dxa"/>
            <w:left w:w="0" w:type="dxa"/>
            <w:bottom w:w="0" w:type="dxa"/>
            <w:right w:w="0" w:type="dxa"/>
          </w:tblCellMar>
        </w:tblPrEx>
        <w:trPr>
          <w:trHeight w:val="660" w:hRule="atLeast"/>
          <w:tblCellSpacing w:w="0" w:type="dxa"/>
        </w:trPr>
        <w:tc>
          <w:tcPr>
            <w:tcW w:w="1687"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47392C80">
            <w:pPr>
              <w:pStyle w:val="3"/>
              <w:keepNext w:val="0"/>
              <w:keepLines w:val="0"/>
              <w:widowControl/>
              <w:suppressLineNumbers w:val="0"/>
              <w:rPr>
                <w:rFonts w:hint="eastAsia" w:eastAsiaTheme="minorEastAsia"/>
                <w:sz w:val="21"/>
                <w:szCs w:val="21"/>
                <w:lang w:eastAsia="zh-CN"/>
              </w:rPr>
            </w:pPr>
            <w:r>
              <w:rPr>
                <w:rFonts w:hint="eastAsia"/>
                <w:sz w:val="21"/>
                <w:szCs w:val="21"/>
                <w:lang w:eastAsia="zh-CN"/>
              </w:rPr>
              <w:t>肠镜</w:t>
            </w:r>
          </w:p>
        </w:tc>
        <w:tc>
          <w:tcPr>
            <w:tcW w:w="4615"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746FF907">
            <w:pPr>
              <w:pStyle w:val="3"/>
              <w:keepNext w:val="0"/>
              <w:keepLines w:val="0"/>
              <w:widowControl/>
              <w:suppressLineNumbers w:val="0"/>
              <w:rPr>
                <w:sz w:val="21"/>
                <w:szCs w:val="21"/>
              </w:rPr>
            </w:pPr>
            <w:r>
              <w:rPr>
                <w:rFonts w:hint="eastAsia" w:ascii="微软雅黑" w:hAnsi="微软雅黑" w:eastAsia="微软雅黑" w:cs="微软雅黑"/>
                <w:color w:val="000000"/>
                <w:sz w:val="21"/>
                <w:szCs w:val="21"/>
              </w:rPr>
              <w:t>CF-H290I</w:t>
            </w:r>
          </w:p>
        </w:tc>
        <w:tc>
          <w:tcPr>
            <w:tcW w:w="2135"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6DC70E42">
            <w:pPr>
              <w:pStyle w:val="3"/>
              <w:keepNext w:val="0"/>
              <w:keepLines w:val="0"/>
              <w:widowControl/>
              <w:suppressLineNumbers w:val="0"/>
              <w:rPr>
                <w:sz w:val="21"/>
                <w:szCs w:val="21"/>
              </w:rPr>
            </w:pPr>
            <w:r>
              <w:rPr>
                <w:rFonts w:hint="eastAsia" w:ascii="微软雅黑" w:hAnsi="微软雅黑" w:eastAsia="微软雅黑" w:cs="微软雅黑"/>
                <w:color w:val="000000"/>
                <w:sz w:val="21"/>
                <w:szCs w:val="21"/>
              </w:rPr>
              <w:t>2843163</w:t>
            </w:r>
          </w:p>
        </w:tc>
      </w:tr>
      <w:tr w14:paraId="087B596C">
        <w:tblPrEx>
          <w:tblCellMar>
            <w:top w:w="0" w:type="dxa"/>
            <w:left w:w="0" w:type="dxa"/>
            <w:bottom w:w="0" w:type="dxa"/>
            <w:right w:w="0" w:type="dxa"/>
          </w:tblCellMar>
        </w:tblPrEx>
        <w:trPr>
          <w:trHeight w:val="980" w:hRule="atLeast"/>
          <w:tblCellSpacing w:w="0" w:type="dxa"/>
        </w:trPr>
        <w:tc>
          <w:tcPr>
            <w:tcW w:w="1687"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7A28A196">
            <w:pPr>
              <w:pStyle w:val="3"/>
              <w:keepNext w:val="0"/>
              <w:keepLines w:val="0"/>
              <w:widowControl/>
              <w:suppressLineNumbers w:val="0"/>
              <w:rPr>
                <w:sz w:val="21"/>
                <w:szCs w:val="21"/>
              </w:rPr>
            </w:pPr>
            <w:r>
              <w:rPr>
                <w:rFonts w:hint="eastAsia"/>
                <w:sz w:val="21"/>
                <w:szCs w:val="21"/>
                <w:lang w:eastAsia="zh-CN"/>
              </w:rPr>
              <w:t>肠镜</w:t>
            </w:r>
          </w:p>
        </w:tc>
        <w:tc>
          <w:tcPr>
            <w:tcW w:w="4615"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26802761">
            <w:pPr>
              <w:pStyle w:val="3"/>
              <w:keepNext w:val="0"/>
              <w:keepLines w:val="0"/>
              <w:widowControl/>
              <w:suppressLineNumbers w:val="0"/>
              <w:rPr>
                <w:sz w:val="21"/>
                <w:szCs w:val="21"/>
              </w:rPr>
            </w:pPr>
            <w:r>
              <w:rPr>
                <w:rFonts w:hint="eastAsia" w:ascii="微软雅黑" w:hAnsi="微软雅黑" w:eastAsia="微软雅黑" w:cs="微软雅黑"/>
                <w:color w:val="000000"/>
                <w:sz w:val="21"/>
                <w:szCs w:val="21"/>
              </w:rPr>
              <w:t>CF-H290I</w:t>
            </w:r>
          </w:p>
        </w:tc>
        <w:tc>
          <w:tcPr>
            <w:tcW w:w="2135"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14:paraId="597CC6FD">
            <w:pPr>
              <w:pStyle w:val="3"/>
              <w:keepNext w:val="0"/>
              <w:keepLines w:val="0"/>
              <w:widowControl/>
              <w:suppressLineNumbers w:val="0"/>
              <w:rPr>
                <w:sz w:val="21"/>
                <w:szCs w:val="21"/>
              </w:rPr>
            </w:pPr>
            <w:r>
              <w:rPr>
                <w:rFonts w:hint="eastAsia" w:ascii="微软雅黑" w:hAnsi="微软雅黑" w:eastAsia="微软雅黑" w:cs="微软雅黑"/>
                <w:color w:val="000000"/>
                <w:sz w:val="21"/>
                <w:szCs w:val="21"/>
              </w:rPr>
              <w:t>2843161</w:t>
            </w:r>
          </w:p>
        </w:tc>
      </w:tr>
    </w:tbl>
    <w:p w14:paraId="5F4D2646">
      <w:pPr>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E46B8"/>
    <w:multiLevelType w:val="singleLevel"/>
    <w:tmpl w:val="A22E46B8"/>
    <w:lvl w:ilvl="0" w:tentative="0">
      <w:start w:val="1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ZDFkYTc0MTk1ZGY2NmQ2YTcxMWU4NzcyMzU4MDYifQ=="/>
  </w:docVars>
  <w:rsids>
    <w:rsidRoot w:val="00000000"/>
    <w:rsid w:val="0A734C5F"/>
    <w:rsid w:val="0B887990"/>
    <w:rsid w:val="26780ED7"/>
    <w:rsid w:val="28B958D1"/>
    <w:rsid w:val="2C535B33"/>
    <w:rsid w:val="2F867825"/>
    <w:rsid w:val="3244724D"/>
    <w:rsid w:val="33A76AD1"/>
    <w:rsid w:val="50BD2394"/>
    <w:rsid w:val="596725D3"/>
    <w:rsid w:val="7D140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cs="Courier New"/>
      <w:szCs w:val="21"/>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31"/>
    <w:basedOn w:val="6"/>
    <w:uiPriority w:val="0"/>
    <w:rPr>
      <w:rFonts w:hint="eastAsia" w:ascii="宋体" w:hAnsi="宋体" w:eastAsia="宋体" w:cs="宋体"/>
      <w:color w:val="000000"/>
      <w:sz w:val="20"/>
      <w:szCs w:val="20"/>
      <w:u w:val="none"/>
    </w:rPr>
  </w:style>
  <w:style w:type="character" w:customStyle="1" w:styleId="8">
    <w:name w:val="font41"/>
    <w:basedOn w:val="6"/>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1487</Words>
  <Characters>1700</Characters>
  <Lines>0</Lines>
  <Paragraphs>0</Paragraphs>
  <TotalTime>13</TotalTime>
  <ScaleCrop>false</ScaleCrop>
  <LinksUpToDate>false</LinksUpToDate>
  <CharactersWithSpaces>1700</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2021-04-08T00:38:00Z</dcterms:created>
  <dc:creator>lenovo</dc:creator>
  <cp:lastModifiedBy>Aibibo</cp:lastModifiedBy>
  <dcterms:modified xsi:type="dcterms:W3CDTF">2024-07-05T08:39:51Z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BAEE57A1A58E4B90A17C30DA29830BD3</vt:lpwstr>
  </property>
</Properties>
</file>