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360" w:lineRule="auto"/>
        <w:ind w:left="0" w:firstLine="721"/>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飞利浦1.5T磁共振</w:t>
      </w:r>
      <w:r>
        <w:rPr>
          <w:rFonts w:hint="eastAsia" w:ascii="仿宋" w:hAnsi="仿宋" w:eastAsia="仿宋" w:cs="仿宋"/>
          <w:b/>
          <w:bCs/>
          <w:sz w:val="28"/>
          <w:szCs w:val="28"/>
        </w:rPr>
        <w:t>全保维修服务参数</w:t>
      </w:r>
    </w:p>
    <w:p>
      <w:pPr>
        <w:pStyle w:val="6"/>
        <w:keepNext w:val="0"/>
        <w:keepLines w:val="0"/>
        <w:widowControl/>
        <w:numPr>
          <w:ilvl w:val="0"/>
          <w:numId w:val="1"/>
        </w:numPr>
        <w:suppressLineNumbers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全保维修设备</w:t>
      </w:r>
      <w:r>
        <w:rPr>
          <w:rFonts w:hint="eastAsia" w:ascii="仿宋" w:hAnsi="仿宋" w:eastAsia="仿宋" w:cs="仿宋"/>
          <w:b/>
          <w:bCs/>
          <w:sz w:val="28"/>
          <w:szCs w:val="28"/>
          <w:lang w:eastAsia="zh-CN"/>
        </w:rPr>
        <w:t>名称型号</w:t>
      </w:r>
      <w:r>
        <w:rPr>
          <w:rFonts w:hint="eastAsia" w:ascii="仿宋" w:hAnsi="仿宋" w:eastAsia="仿宋" w:cs="仿宋"/>
          <w:b/>
          <w:bCs/>
          <w:sz w:val="28"/>
          <w:szCs w:val="28"/>
        </w:rPr>
        <w:t>：</w:t>
      </w:r>
      <w:r>
        <w:rPr>
          <w:rFonts w:hint="eastAsia" w:ascii="仿宋" w:hAnsi="仿宋" w:eastAsia="仿宋" w:cs="仿宋"/>
          <w:sz w:val="28"/>
          <w:szCs w:val="28"/>
        </w:rPr>
        <w:t xml:space="preserve">1.5T磁共振 Prodiva CX 1台 </w:t>
      </w:r>
    </w:p>
    <w:p>
      <w:pPr>
        <w:pStyle w:val="6"/>
        <w:keepNext w:val="0"/>
        <w:keepLines w:val="0"/>
        <w:widowControl/>
        <w:numPr>
          <w:ilvl w:val="0"/>
          <w:numId w:val="1"/>
        </w:numPr>
        <w:suppressLineNumbers w:val="0"/>
        <w:spacing w:line="360" w:lineRule="auto"/>
        <w:jc w:val="left"/>
        <w:rPr>
          <w:rFonts w:hint="eastAsia" w:ascii="仿宋" w:hAnsi="仿宋" w:eastAsia="仿宋" w:cs="仿宋"/>
          <w:b w:val="0"/>
          <w:bCs w:val="0"/>
          <w:sz w:val="28"/>
          <w:szCs w:val="28"/>
          <w:lang w:eastAsia="zh-CN"/>
        </w:rPr>
      </w:pPr>
      <w:r>
        <w:rPr>
          <w:rFonts w:hint="eastAsia" w:ascii="仿宋" w:hAnsi="仿宋" w:eastAsia="仿宋" w:cs="仿宋"/>
          <w:b/>
          <w:bCs/>
          <w:sz w:val="28"/>
          <w:szCs w:val="28"/>
        </w:rPr>
        <w:t>全保时间：</w:t>
      </w:r>
      <w:r>
        <w:rPr>
          <w:rFonts w:hint="eastAsia" w:ascii="仿宋" w:hAnsi="仿宋" w:eastAsia="仿宋" w:cs="仿宋"/>
          <w:sz w:val="28"/>
          <w:szCs w:val="28"/>
        </w:rPr>
        <w:t>三年，自合同签订之日起。</w:t>
      </w:r>
    </w:p>
    <w:p>
      <w:pPr>
        <w:pStyle w:val="6"/>
        <w:keepNext w:val="0"/>
        <w:keepLines w:val="0"/>
        <w:widowControl/>
        <w:numPr>
          <w:ilvl w:val="0"/>
          <w:numId w:val="1"/>
        </w:numPr>
        <w:suppressLineNumbers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保修公司资质：</w:t>
      </w:r>
      <w:r>
        <w:rPr>
          <w:rFonts w:hint="eastAsia" w:ascii="仿宋" w:hAnsi="仿宋" w:eastAsia="仿宋" w:cs="仿宋"/>
          <w:b w:val="0"/>
          <w:bCs w:val="0"/>
          <w:sz w:val="28"/>
          <w:szCs w:val="28"/>
          <w:lang w:eastAsia="zh-CN"/>
        </w:rPr>
        <w:t>营业执照、具备设备维修能力的工程师、</w:t>
      </w:r>
      <w:r>
        <w:rPr>
          <w:rFonts w:hint="eastAsia" w:ascii="仿宋" w:hAnsi="仿宋" w:eastAsia="仿宋" w:cs="仿宋"/>
          <w:b w:val="0"/>
          <w:bCs w:val="0"/>
          <w:sz w:val="28"/>
          <w:szCs w:val="28"/>
        </w:rPr>
        <w:t>公司应配有零配件齐全充足的配件仓库</w:t>
      </w:r>
      <w:r>
        <w:rPr>
          <w:rFonts w:hint="eastAsia" w:ascii="仿宋" w:hAnsi="仿宋" w:eastAsia="仿宋" w:cs="仿宋"/>
          <w:b w:val="0"/>
          <w:bCs w:val="0"/>
          <w:sz w:val="28"/>
          <w:szCs w:val="28"/>
          <w:lang w:eastAsia="zh-CN"/>
        </w:rPr>
        <w:t>。</w:t>
      </w:r>
    </w:p>
    <w:p>
      <w:pPr>
        <w:pStyle w:val="6"/>
        <w:keepNext w:val="0"/>
        <w:keepLines w:val="0"/>
        <w:widowControl/>
        <w:numPr>
          <w:ilvl w:val="0"/>
          <w:numId w:val="1"/>
        </w:numPr>
        <w:suppressLineNumbers w:val="0"/>
        <w:spacing w:line="360" w:lineRule="auto"/>
        <w:jc w:val="left"/>
        <w:rPr>
          <w:rFonts w:hint="eastAsia" w:ascii="仿宋" w:hAnsi="仿宋" w:eastAsia="仿宋" w:cs="仿宋"/>
          <w:color w:val="000000"/>
          <w:kern w:val="0"/>
          <w:sz w:val="28"/>
          <w:szCs w:val="28"/>
        </w:rPr>
      </w:pPr>
      <w:r>
        <w:rPr>
          <w:rFonts w:hint="eastAsia" w:ascii="仿宋" w:hAnsi="仿宋" w:eastAsia="仿宋" w:cs="仿宋"/>
          <w:b/>
          <w:bCs/>
          <w:sz w:val="28"/>
          <w:szCs w:val="28"/>
        </w:rPr>
        <w:t>维修服务形式：</w:t>
      </w:r>
      <w:r>
        <w:rPr>
          <w:rFonts w:hint="eastAsia" w:ascii="仿宋" w:hAnsi="仿宋" w:eastAsia="仿宋" w:cs="仿宋"/>
          <w:sz w:val="28"/>
          <w:szCs w:val="28"/>
        </w:rPr>
        <w:t>购买全保服务。</w:t>
      </w:r>
    </w:p>
    <w:p>
      <w:pPr>
        <w:pStyle w:val="6"/>
        <w:keepNext w:val="0"/>
        <w:keepLines w:val="0"/>
        <w:widowControl/>
        <w:numPr>
          <w:ilvl w:val="0"/>
          <w:numId w:val="1"/>
        </w:numPr>
        <w:suppressLineNumbers w:val="0"/>
        <w:spacing w:line="360" w:lineRule="auto"/>
        <w:jc w:val="left"/>
        <w:rPr>
          <w:rFonts w:hint="eastAsia" w:ascii="仿宋" w:hAnsi="仿宋" w:eastAsia="仿宋" w:cs="仿宋"/>
          <w:color w:val="000000"/>
          <w:kern w:val="0"/>
          <w:sz w:val="28"/>
          <w:szCs w:val="28"/>
        </w:rPr>
      </w:pPr>
      <w:r>
        <w:rPr>
          <w:rFonts w:hint="eastAsia" w:ascii="仿宋" w:hAnsi="仿宋" w:eastAsia="仿宋" w:cs="仿宋"/>
          <w:b/>
          <w:bCs/>
          <w:sz w:val="28"/>
          <w:szCs w:val="28"/>
        </w:rPr>
        <w:t>全保服务内容：</w:t>
      </w:r>
    </w:p>
    <w:p>
      <w:pPr>
        <w:widowControl/>
        <w:numPr>
          <w:ilvl w:val="0"/>
          <w:numId w:val="2"/>
        </w:numPr>
        <w:spacing w:line="360" w:lineRule="auto"/>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24小时 *365天有工程师接听</w:t>
      </w:r>
      <w:r>
        <w:rPr>
          <w:rFonts w:hint="eastAsia" w:ascii="仿宋" w:hAnsi="仿宋" w:eastAsia="仿宋" w:cs="仿宋"/>
          <w:color w:val="333333"/>
          <w:sz w:val="28"/>
          <w:szCs w:val="28"/>
          <w:shd w:val="clear" w:color="auto" w:fill="FFFFFF"/>
        </w:rPr>
        <w:t>电话</w:t>
      </w:r>
      <w:r>
        <w:rPr>
          <w:rFonts w:hint="eastAsia" w:ascii="仿宋" w:hAnsi="仿宋" w:eastAsia="仿宋" w:cs="仿宋"/>
          <w:color w:val="333333"/>
          <w:sz w:val="28"/>
          <w:szCs w:val="28"/>
          <w:shd w:val="clear" w:color="auto" w:fill="FFFFFF"/>
        </w:rPr>
        <w:t>，并快速诊断和提供技术支持服务</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rPr>
        <w:t>2.接到维修要求后，如是设备停机或是影响设备使用的故障，不超过24小时</w:t>
      </w:r>
      <w:r>
        <w:rPr>
          <w:rFonts w:hint="eastAsia" w:ascii="仿宋" w:hAnsi="仿宋" w:eastAsia="仿宋" w:cs="仿宋"/>
          <w:color w:val="333333"/>
          <w:sz w:val="28"/>
          <w:szCs w:val="28"/>
          <w:shd w:val="clear" w:color="auto" w:fill="FFFFFF"/>
          <w:lang w:eastAsia="zh-CN"/>
        </w:rPr>
        <w:t>内</w:t>
      </w:r>
      <w:r>
        <w:rPr>
          <w:rFonts w:hint="eastAsia" w:ascii="仿宋" w:hAnsi="仿宋" w:eastAsia="仿宋" w:cs="仿宋"/>
          <w:color w:val="333333"/>
          <w:sz w:val="28"/>
          <w:szCs w:val="28"/>
          <w:shd w:val="clear" w:color="auto" w:fill="FFFFFF"/>
        </w:rPr>
        <w:t>到达现场</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.每年</w:t>
      </w:r>
      <w:r>
        <w:rPr>
          <w:rFonts w:hint="eastAsia" w:ascii="仿宋" w:hAnsi="仿宋" w:eastAsia="仿宋" w:cs="仿宋"/>
          <w:color w:val="333333"/>
          <w:sz w:val="28"/>
          <w:szCs w:val="28"/>
          <w:shd w:val="clear" w:color="auto" w:fill="FFFFFF"/>
          <w:lang w:eastAsia="zh-CN"/>
        </w:rPr>
        <w:t>至少</w:t>
      </w:r>
      <w:r>
        <w:rPr>
          <w:rFonts w:hint="eastAsia" w:ascii="仿宋" w:hAnsi="仿宋" w:eastAsia="仿宋" w:cs="仿宋"/>
          <w:color w:val="333333"/>
          <w:sz w:val="28"/>
          <w:szCs w:val="28"/>
          <w:shd w:val="clear" w:color="auto" w:fill="FFFFFF"/>
          <w:lang w:val="en-US" w:eastAsia="zh-CN"/>
        </w:rPr>
        <w:t>4</w:t>
      </w:r>
      <w:r>
        <w:rPr>
          <w:rFonts w:hint="eastAsia" w:ascii="仿宋" w:hAnsi="仿宋" w:eastAsia="仿宋" w:cs="仿宋"/>
          <w:color w:val="333333"/>
          <w:sz w:val="28"/>
          <w:szCs w:val="28"/>
          <w:shd w:val="clear" w:color="auto" w:fill="FFFFFF"/>
        </w:rPr>
        <w:t>次预防性保养服务，不限次数到场技术服务和远程诊断服务，零备件更换服务</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包含的相关备件为：整机主机（含梯度、射频、床、主控计算机、重建服务器等）、线圈、磁体、冷却系统（氦压机、正常情况下消耗的液氦）、水冷系统、工作站</w:t>
      </w:r>
      <w:r>
        <w:rPr>
          <w:rFonts w:hint="eastAsia" w:ascii="仿宋" w:hAnsi="仿宋" w:eastAsia="仿宋" w:cs="仿宋"/>
          <w:color w:val="333333"/>
          <w:sz w:val="28"/>
          <w:szCs w:val="28"/>
          <w:shd w:val="clear" w:color="auto" w:fill="FFFFFF"/>
          <w:lang w:eastAsia="zh-CN"/>
        </w:rPr>
        <w:t>、第三方线圈等；</w:t>
      </w:r>
    </w:p>
    <w:p>
      <w:pPr>
        <w:widowControl/>
        <w:numPr>
          <w:ilvl w:val="0"/>
          <w:numId w:val="0"/>
        </w:numPr>
        <w:spacing w:line="360" w:lineRule="auto"/>
        <w:jc w:val="left"/>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lang w:val="en-US" w:eastAsia="zh-CN"/>
        </w:rPr>
        <w:t>4.</w:t>
      </w:r>
      <w:r>
        <w:rPr>
          <w:rFonts w:hint="eastAsia" w:ascii="仿宋" w:hAnsi="仿宋" w:eastAsia="仿宋" w:cs="仿宋"/>
          <w:color w:val="333333"/>
          <w:sz w:val="28"/>
          <w:szCs w:val="28"/>
          <w:shd w:val="clear" w:color="auto" w:fill="FFFFFF"/>
        </w:rPr>
        <w:t>开机率：在合同期内保证95%的开机率（停机时间少于5%），按照一年365日计算</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5</w:t>
      </w:r>
      <w:r>
        <w:rPr>
          <w:rFonts w:hint="eastAsia" w:ascii="仿宋" w:hAnsi="仿宋" w:eastAsia="仿宋" w:cs="仿宋"/>
          <w:color w:val="333333"/>
          <w:sz w:val="28"/>
          <w:szCs w:val="28"/>
          <w:shd w:val="clear" w:color="auto" w:fill="FFFFFF"/>
        </w:rPr>
        <w:t>.提供的备件必须是</w:t>
      </w:r>
      <w:r>
        <w:rPr>
          <w:rFonts w:hint="eastAsia" w:ascii="仿宋" w:hAnsi="仿宋" w:eastAsia="仿宋" w:cs="仿宋"/>
          <w:color w:val="333333"/>
          <w:sz w:val="28"/>
          <w:szCs w:val="28"/>
          <w:shd w:val="clear" w:color="auto" w:fill="FFFFFF"/>
        </w:rPr>
        <w:t>合法合规</w:t>
      </w:r>
      <w:r>
        <w:rPr>
          <w:rFonts w:hint="eastAsia" w:ascii="仿宋" w:hAnsi="仿宋" w:eastAsia="仿宋" w:cs="仿宋"/>
          <w:color w:val="333333"/>
          <w:sz w:val="28"/>
          <w:szCs w:val="28"/>
          <w:shd w:val="clear" w:color="auto" w:fill="FFFFFF"/>
          <w:lang w:eastAsia="zh-CN"/>
        </w:rPr>
        <w:t>全新</w:t>
      </w:r>
      <w:r>
        <w:rPr>
          <w:rFonts w:hint="eastAsia" w:ascii="仿宋" w:hAnsi="仿宋" w:eastAsia="仿宋" w:cs="仿宋"/>
          <w:color w:val="333333"/>
          <w:sz w:val="28"/>
          <w:szCs w:val="28"/>
          <w:shd w:val="clear" w:color="auto" w:fill="FFFFFF"/>
        </w:rPr>
        <w:t>的零备件，备件有追踪号码，保障不会对设备质量或图像产生不良影响。提供保修所需的备件，备件供应要及时、充足。如因提供不合法不合规或来路不明的备件而引起的相关损失及法律责任由供应商自行承担</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color w:val="333333"/>
          <w:sz w:val="28"/>
          <w:szCs w:val="28"/>
          <w:shd w:val="clear" w:color="auto" w:fill="FFFFFF"/>
        </w:rPr>
        <w:br w:type="textWrapping"/>
      </w:r>
      <w:r>
        <w:rPr>
          <w:rFonts w:hint="eastAsia" w:ascii="仿宋" w:hAnsi="仿宋" w:eastAsia="仿宋" w:cs="仿宋"/>
          <w:color w:val="333333"/>
          <w:sz w:val="28"/>
          <w:szCs w:val="28"/>
          <w:shd w:val="clear" w:color="auto" w:fill="FFFFFF"/>
          <w:lang w:val="en-US" w:eastAsia="zh-CN"/>
        </w:rPr>
        <w:t>6</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安全性软件改版升级保障运行稳定性及安全性；</w:t>
      </w:r>
    </w:p>
    <w:p>
      <w:pPr>
        <w:widowControl/>
        <w:spacing w:line="360" w:lineRule="auto"/>
        <w:jc w:val="left"/>
        <w:rPr>
          <w:rFonts w:hint="eastAsia" w:ascii="仿宋" w:hAnsi="仿宋" w:eastAsia="仿宋" w:cs="仿宋"/>
          <w:color w:val="333333"/>
          <w:sz w:val="28"/>
          <w:szCs w:val="28"/>
          <w:shd w:val="clear" w:color="auto" w:fill="FFFFFF"/>
          <w:lang w:eastAsia="zh-CN"/>
        </w:rPr>
      </w:pPr>
      <w:r>
        <w:rPr>
          <w:rFonts w:hint="eastAsia" w:ascii="仿宋" w:hAnsi="仿宋" w:eastAsia="仿宋" w:cs="仿宋"/>
          <w:color w:val="333333"/>
          <w:sz w:val="28"/>
          <w:szCs w:val="28"/>
          <w:shd w:val="clear" w:color="auto" w:fill="FFFFFF"/>
          <w:lang w:val="en-US" w:eastAsia="zh-CN"/>
        </w:rPr>
        <w:t>7</w:t>
      </w:r>
      <w:r>
        <w:rPr>
          <w:rFonts w:hint="eastAsia" w:ascii="仿宋" w:hAnsi="仿宋" w:eastAsia="仿宋" w:cs="仿宋"/>
          <w:color w:val="333333"/>
          <w:sz w:val="28"/>
          <w:szCs w:val="28"/>
          <w:shd w:val="clear" w:color="auto" w:fill="FFFFFF"/>
        </w:rPr>
        <w:t>.远程连接：需提供基于设备嵌入式远程连接方案的实时远程服务，以保证维修的及时性</w:t>
      </w:r>
      <w:r>
        <w:rPr>
          <w:rFonts w:hint="eastAsia"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lang w:val="en-US" w:eastAsia="zh-CN"/>
        </w:rPr>
        <w:t>8</w:t>
      </w:r>
      <w:r>
        <w:rPr>
          <w:rFonts w:hint="eastAsia" w:ascii="仿宋" w:hAnsi="仿宋" w:eastAsia="仿宋" w:cs="仿宋"/>
          <w:color w:val="333333"/>
          <w:sz w:val="28"/>
          <w:szCs w:val="28"/>
          <w:shd w:val="clear" w:color="auto" w:fill="FFFFFF"/>
        </w:rPr>
        <w:t>.为保障备件的快速且安全的供应，投标人或维保服务实施人在国内设有零备件保税仓库（提供相应证明材料，如租赁合同等）</w:t>
      </w:r>
      <w:r>
        <w:rPr>
          <w:rFonts w:hint="eastAsia" w:ascii="仿宋" w:hAnsi="仿宋" w:eastAsia="仿宋" w:cs="仿宋"/>
          <w:color w:val="333333"/>
          <w:sz w:val="28"/>
          <w:szCs w:val="28"/>
          <w:shd w:val="clear" w:color="auto" w:fill="FFFFFF"/>
          <w:lang w:eastAsia="zh-CN"/>
        </w:rPr>
        <w:t>；</w:t>
      </w:r>
    </w:p>
    <w:p>
      <w:pPr>
        <w:widowControl/>
        <w:spacing w:line="360" w:lineRule="auto"/>
        <w:jc w:val="left"/>
        <w:rPr>
          <w:rFonts w:hint="eastAsia" w:ascii="仿宋" w:hAnsi="仿宋" w:eastAsia="仿宋" w:cs="仿宋"/>
          <w:color w:val="333333"/>
          <w:sz w:val="28"/>
          <w:szCs w:val="28"/>
          <w:shd w:val="clear" w:color="auto" w:fill="FFFFFF"/>
          <w:lang w:val="en-US" w:eastAsia="zh-CN"/>
        </w:rPr>
      </w:pPr>
      <w:r>
        <w:rPr>
          <w:rFonts w:hint="eastAsia" w:ascii="仿宋" w:hAnsi="仿宋" w:eastAsia="仿宋" w:cs="仿宋"/>
          <w:color w:val="333333"/>
          <w:sz w:val="28"/>
          <w:szCs w:val="28"/>
          <w:shd w:val="clear" w:color="auto" w:fill="FFFFFF"/>
          <w:lang w:val="en-US" w:eastAsia="zh-CN"/>
        </w:rPr>
        <w:t>9.如报修后三天内仍无法解决故障问题，就额外停机按1:10（天）的比例要求延长保修服务期限和每天扣除人民币1000元。</w:t>
      </w: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sz w:val="28"/>
          <w:szCs w:val="28"/>
        </w:rPr>
      </w:pPr>
      <w:bookmarkStart w:id="0" w:name="_GoBack"/>
      <w:bookmarkEnd w:id="0"/>
    </w:p>
    <w:p>
      <w:pPr>
        <w:pStyle w:val="6"/>
        <w:widowControl/>
        <w:shd w:val="clear" w:color="auto" w:fill="FFFFFF"/>
        <w:spacing w:before="0" w:beforeAutospacing="0" w:after="90" w:afterAutospacing="0" w:line="18" w:lineRule="atLeast"/>
        <w:rPr>
          <w:rFonts w:hint="eastAsia" w:ascii="宋体" w:hAnsi="宋体" w:cs="宋体"/>
          <w:b/>
          <w:bCs/>
          <w:sz w:val="28"/>
          <w:szCs w:val="28"/>
        </w:rPr>
      </w:pPr>
    </w:p>
    <w:p>
      <w:pPr>
        <w:pStyle w:val="6"/>
        <w:widowControl/>
        <w:shd w:val="clear" w:color="auto" w:fill="FFFFFF"/>
        <w:spacing w:before="0" w:beforeAutospacing="0" w:after="90" w:afterAutospacing="0" w:line="18" w:lineRule="atLeast"/>
        <w:rPr>
          <w:rFonts w:hint="eastAsia" w:ascii="宋体" w:hAnsi="宋体" w:cs="宋体"/>
          <w:b/>
          <w:bCs/>
          <w:color w:val="000000"/>
          <w:sz w:val="28"/>
          <w:szCs w:val="28"/>
        </w:rPr>
      </w:pPr>
      <w:r>
        <w:rPr>
          <w:rFonts w:hint="eastAsia" w:ascii="宋体" w:hAnsi="宋体" w:cs="宋体"/>
          <w:b/>
          <w:bCs/>
          <w:sz w:val="28"/>
          <w:szCs w:val="28"/>
        </w:rPr>
        <w:t>附件1</w:t>
      </w:r>
    </w:p>
    <w:p>
      <w:pPr>
        <w:pStyle w:val="3"/>
        <w:spacing w:before="240"/>
        <w:ind w:left="5"/>
        <w:jc w:val="center"/>
        <w:rPr>
          <w:rFonts w:hint="eastAsia" w:hAnsi="宋体" w:cs="宋体"/>
          <w:b/>
          <w:color w:val="000000"/>
          <w:sz w:val="28"/>
          <w:szCs w:val="28"/>
        </w:rPr>
      </w:pPr>
      <w:r>
        <w:rPr>
          <w:rFonts w:hint="eastAsia" w:hAnsi="宋体" w:cs="宋体"/>
          <w:b/>
          <w:color w:val="000000"/>
          <w:sz w:val="28"/>
          <w:szCs w:val="28"/>
          <w:u w:val="single"/>
        </w:rPr>
        <w:t xml:space="preserve">    </w:t>
      </w:r>
      <w:r>
        <w:rPr>
          <w:rFonts w:hint="eastAsia" w:hAnsi="宋体" w:cs="宋体"/>
          <w:b/>
          <w:bCs/>
          <w:kern w:val="0"/>
          <w:sz w:val="30"/>
          <w:szCs w:val="30"/>
          <w:u w:val="single"/>
        </w:rPr>
        <w:t>（项目名称）</w:t>
      </w:r>
      <w:r>
        <w:rPr>
          <w:rFonts w:hint="eastAsia" w:hAnsi="宋体" w:cs="宋体"/>
          <w:b/>
          <w:color w:val="000000"/>
          <w:sz w:val="28"/>
          <w:szCs w:val="28"/>
          <w:u w:val="single"/>
        </w:rPr>
        <w:t xml:space="preserve">       </w:t>
      </w:r>
      <w:r>
        <w:rPr>
          <w:rFonts w:hint="eastAsia" w:hAnsi="宋体" w:cs="宋体"/>
          <w:b/>
          <w:color w:val="000000"/>
          <w:sz w:val="28"/>
          <w:szCs w:val="28"/>
        </w:rPr>
        <w:t>报价表（格式）</w:t>
      </w:r>
    </w:p>
    <w:tbl>
      <w:tblPr>
        <w:tblStyle w:val="8"/>
        <w:tblpPr w:leftFromText="180" w:rightFromText="180" w:vertAnchor="text" w:horzAnchor="page" w:tblpX="1132" w:tblpY="90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75"/>
        <w:gridCol w:w="868"/>
        <w:gridCol w:w="1674"/>
        <w:gridCol w:w="805"/>
        <w:gridCol w:w="979"/>
        <w:gridCol w:w="916"/>
        <w:gridCol w:w="9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34" w:type="dxa"/>
            <w:noWrap w:val="0"/>
            <w:vAlign w:val="center"/>
          </w:tcPr>
          <w:p>
            <w:pPr>
              <w:widowControl/>
              <w:autoSpaceDE w:val="0"/>
              <w:autoSpaceDN w:val="0"/>
              <w:spacing w:line="360" w:lineRule="auto"/>
              <w:jc w:val="center"/>
              <w:textAlignment w:val="bottom"/>
              <w:rPr>
                <w:rFonts w:hint="eastAsia" w:ascii="宋体" w:hAnsi="宋体" w:cs="宋体"/>
                <w:b/>
                <w:color w:val="000000"/>
                <w:sz w:val="24"/>
              </w:rPr>
            </w:pPr>
            <w:r>
              <w:rPr>
                <w:rFonts w:hint="eastAsia" w:ascii="宋体" w:hAnsi="宋体" w:cs="宋体"/>
                <w:b/>
                <w:color w:val="000000"/>
                <w:sz w:val="24"/>
              </w:rPr>
              <w:t>序号</w:t>
            </w:r>
          </w:p>
        </w:tc>
        <w:tc>
          <w:tcPr>
            <w:tcW w:w="1775"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lang w:eastAsia="zh-CN"/>
              </w:rPr>
              <w:t>维保</w:t>
            </w:r>
            <w:r>
              <w:rPr>
                <w:rFonts w:hint="eastAsia" w:ascii="宋体" w:hAnsi="宋体" w:cs="宋体"/>
                <w:b/>
                <w:sz w:val="24"/>
              </w:rPr>
              <w:t>设备名称</w:t>
            </w:r>
          </w:p>
        </w:tc>
        <w:tc>
          <w:tcPr>
            <w:tcW w:w="868"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rPr>
              <w:t>品牌</w:t>
            </w:r>
          </w:p>
        </w:tc>
        <w:tc>
          <w:tcPr>
            <w:tcW w:w="1674"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rPr>
              <w:t>规格、型号</w:t>
            </w:r>
          </w:p>
        </w:tc>
        <w:tc>
          <w:tcPr>
            <w:tcW w:w="805"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rPr>
              <w:t>数量</w:t>
            </w:r>
          </w:p>
        </w:tc>
        <w:tc>
          <w:tcPr>
            <w:tcW w:w="979" w:type="dxa"/>
            <w:noWrap w:val="0"/>
            <w:vAlign w:val="center"/>
          </w:tcPr>
          <w:p>
            <w:pPr>
              <w:adjustRightInd w:val="0"/>
              <w:snapToGrid w:val="0"/>
              <w:jc w:val="center"/>
              <w:rPr>
                <w:rFonts w:hint="eastAsia" w:ascii="宋体" w:hAnsi="宋体" w:eastAsia="宋体" w:cs="宋体"/>
                <w:b/>
                <w:sz w:val="24"/>
                <w:lang w:eastAsia="zh-CN"/>
              </w:rPr>
            </w:pPr>
            <w:r>
              <w:rPr>
                <w:rFonts w:hint="eastAsia" w:ascii="宋体" w:hAnsi="宋体" w:cs="宋体"/>
                <w:b/>
                <w:sz w:val="24"/>
              </w:rPr>
              <w:t>单位</w:t>
            </w:r>
            <w:r>
              <w:rPr>
                <w:rFonts w:hint="eastAsia" w:ascii="宋体" w:hAnsi="宋体" w:cs="宋体"/>
                <w:b/>
                <w:sz w:val="24"/>
                <w:lang w:eastAsia="zh-CN"/>
              </w:rPr>
              <w:t>（年）</w:t>
            </w:r>
          </w:p>
        </w:tc>
        <w:tc>
          <w:tcPr>
            <w:tcW w:w="916"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rPr>
              <w:t>单价</w:t>
            </w:r>
          </w:p>
          <w:p>
            <w:pPr>
              <w:adjustRightInd w:val="0"/>
              <w:snapToGrid w:val="0"/>
              <w:jc w:val="center"/>
              <w:rPr>
                <w:rFonts w:hint="eastAsia" w:ascii="宋体" w:hAnsi="宋体" w:cs="宋体"/>
                <w:b/>
                <w:sz w:val="24"/>
              </w:rPr>
            </w:pPr>
            <w:r>
              <w:rPr>
                <w:rFonts w:hint="eastAsia" w:ascii="宋体" w:hAnsi="宋体" w:cs="宋体"/>
                <w:b/>
                <w:sz w:val="24"/>
              </w:rPr>
              <w:t>（元）</w:t>
            </w:r>
          </w:p>
        </w:tc>
        <w:tc>
          <w:tcPr>
            <w:tcW w:w="921" w:type="dxa"/>
            <w:noWrap w:val="0"/>
            <w:vAlign w:val="center"/>
          </w:tcPr>
          <w:p>
            <w:pPr>
              <w:adjustRightInd w:val="0"/>
              <w:snapToGrid w:val="0"/>
              <w:jc w:val="center"/>
              <w:rPr>
                <w:rFonts w:hint="eastAsia" w:ascii="宋体" w:hAnsi="宋体" w:cs="宋体"/>
                <w:b/>
                <w:sz w:val="24"/>
              </w:rPr>
            </w:pPr>
            <w:r>
              <w:rPr>
                <w:rFonts w:hint="eastAsia" w:ascii="宋体" w:hAnsi="宋体" w:cs="宋体"/>
                <w:b/>
                <w:sz w:val="24"/>
              </w:rPr>
              <w:t>总价</w:t>
            </w:r>
          </w:p>
          <w:p>
            <w:pPr>
              <w:adjustRightInd w:val="0"/>
              <w:snapToGrid w:val="0"/>
              <w:jc w:val="center"/>
              <w:rPr>
                <w:rFonts w:hint="eastAsia" w:ascii="宋体" w:hAnsi="宋体" w:cs="宋体"/>
                <w:b/>
                <w:sz w:val="24"/>
              </w:rPr>
            </w:pPr>
            <w:r>
              <w:rPr>
                <w:rFonts w:hint="eastAsia" w:ascii="宋体" w:hAnsi="宋体" w:cs="宋体"/>
                <w:b/>
                <w:sz w:val="24"/>
              </w:rPr>
              <w:t>（元）</w:t>
            </w:r>
          </w:p>
        </w:tc>
        <w:tc>
          <w:tcPr>
            <w:tcW w:w="992" w:type="dxa"/>
            <w:noWrap w:val="0"/>
            <w:vAlign w:val="top"/>
          </w:tcPr>
          <w:p>
            <w:pPr>
              <w:adjustRightInd w:val="0"/>
              <w:snapToGrid w:val="0"/>
              <w:jc w:val="center"/>
              <w:rPr>
                <w:rFonts w:hint="eastAsia" w:ascii="宋体" w:hAnsi="宋体" w:cs="宋体"/>
                <w:b/>
                <w:sz w:val="24"/>
              </w:rPr>
            </w:pPr>
            <w:r>
              <w:rPr>
                <w:rFonts w:hint="eastAsia" w:ascii="宋体" w:hAnsi="宋体" w:cs="宋体"/>
                <w:b/>
                <w:sz w:val="24"/>
              </w:rPr>
              <w:t>生产企业规模（大/中/小/微）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1</w:t>
            </w:r>
          </w:p>
        </w:tc>
        <w:tc>
          <w:tcPr>
            <w:tcW w:w="1775"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2</w:t>
            </w:r>
          </w:p>
        </w:tc>
        <w:tc>
          <w:tcPr>
            <w:tcW w:w="1775"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w:t>
            </w:r>
          </w:p>
        </w:tc>
        <w:tc>
          <w:tcPr>
            <w:tcW w:w="1775" w:type="dxa"/>
            <w:noWrap w:val="0"/>
            <w:vAlign w:val="center"/>
          </w:tcPr>
          <w:p>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pPr>
              <w:widowControl/>
              <w:autoSpaceDE w:val="0"/>
              <w:autoSpaceDN w:val="0"/>
              <w:spacing w:line="360" w:lineRule="auto"/>
              <w:ind w:firstLine="480" w:firstLineChars="200"/>
              <w:textAlignment w:val="bottom"/>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64" w:type="dxa"/>
            <w:gridSpan w:val="9"/>
            <w:noWrap w:val="0"/>
            <w:vAlign w:val="center"/>
          </w:tcPr>
          <w:p>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合计：人民币（大写）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w:t>
            </w:r>
          </w:p>
        </w:tc>
      </w:tr>
    </w:tbl>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spacing w:line="360" w:lineRule="auto"/>
        <w:jc w:val="left"/>
        <w:rPr>
          <w:rFonts w:hint="eastAsia" w:ascii="Tahoma" w:hAnsi="Tahoma" w:eastAsia="宋体" w:cs="Tahoma"/>
          <w:color w:val="333333"/>
          <w:sz w:val="28"/>
          <w:szCs w:val="28"/>
          <w:shd w:val="clear" w:color="auto" w:fill="FFFFFF"/>
          <w:lang w:val="en-US" w:eastAsia="zh-CN"/>
        </w:rPr>
      </w:pPr>
    </w:p>
    <w:p>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Tahoma" w:hAnsi="Tahoma" w:eastAsia="宋体" w:cs="Tahoma"/>
          <w:color w:val="333333"/>
          <w:sz w:val="28"/>
          <w:szCs w:val="28"/>
          <w:shd w:val="clear" w:color="auto" w:fill="FFFFFF"/>
          <w:lang w:val="en-US" w:eastAsia="zh-CN"/>
        </w:rPr>
        <w:t xml:space="preserve">                            </w:t>
      </w:r>
      <w:r>
        <w:rPr>
          <w:rFonts w:hint="eastAsia" w:ascii="宋体" w:hAnsi="宋体" w:cs="宋体"/>
          <w:color w:val="000000"/>
          <w:sz w:val="28"/>
          <w:szCs w:val="28"/>
        </w:rPr>
        <w:t xml:space="preserve">法定代表人或其委托代理人签名（或盖章）：                  </w:t>
      </w:r>
    </w:p>
    <w:p>
      <w:pPr>
        <w:widowControl/>
        <w:autoSpaceDE w:val="0"/>
        <w:autoSpaceDN w:val="0"/>
        <w:spacing w:line="360" w:lineRule="auto"/>
        <w:ind w:firstLine="4480" w:firstLineChars="1600"/>
        <w:textAlignment w:val="bottom"/>
        <w:rPr>
          <w:rFonts w:hint="eastAsia" w:ascii="宋体" w:hAnsi="宋体" w:cs="宋体"/>
          <w:color w:val="000000"/>
          <w:sz w:val="28"/>
          <w:szCs w:val="28"/>
        </w:rPr>
      </w:pPr>
      <w:r>
        <w:rPr>
          <w:rFonts w:hint="eastAsia" w:ascii="宋体" w:hAnsi="宋体" w:cs="宋体"/>
          <w:color w:val="000000"/>
          <w:sz w:val="28"/>
          <w:szCs w:val="28"/>
        </w:rPr>
        <w:t xml:space="preserve">报价公司（公章）：                                          </w:t>
      </w:r>
    </w:p>
    <w:p>
      <w:pPr>
        <w:widowControl/>
        <w:autoSpaceDE w:val="0"/>
        <w:autoSpaceDN w:val="0"/>
        <w:spacing w:line="360" w:lineRule="auto"/>
        <w:ind w:firstLine="4480" w:firstLineChars="1600"/>
        <w:textAlignment w:val="bottom"/>
        <w:rPr>
          <w:rFonts w:hint="eastAsia" w:ascii="宋体" w:hAnsi="宋体" w:cs="宋体"/>
          <w:color w:val="000000"/>
          <w:sz w:val="28"/>
          <w:szCs w:val="28"/>
        </w:rPr>
      </w:pPr>
      <w:r>
        <w:rPr>
          <w:rFonts w:hint="eastAsia" w:ascii="宋体" w:hAnsi="宋体" w:cs="宋体"/>
          <w:color w:val="000000"/>
          <w:sz w:val="28"/>
          <w:szCs w:val="28"/>
        </w:rPr>
        <w:t>日期：     年    月    日</w:t>
      </w:r>
    </w:p>
    <w:p>
      <w:pPr>
        <w:widowControl/>
        <w:spacing w:line="360" w:lineRule="auto"/>
        <w:jc w:val="left"/>
        <w:rPr>
          <w:rFonts w:hint="default" w:ascii="Tahoma" w:hAnsi="Tahoma" w:eastAsia="宋体" w:cs="Tahoma"/>
          <w:color w:val="333333"/>
          <w:sz w:val="28"/>
          <w:szCs w:val="28"/>
          <w:shd w:val="clear" w:color="auto" w:fill="FFFFFF"/>
          <w:lang w:val="en-US" w:eastAsia="zh-CN"/>
        </w:rPr>
      </w:pPr>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00651"/>
    <w:multiLevelType w:val="singleLevel"/>
    <w:tmpl w:val="E1800651"/>
    <w:lvl w:ilvl="0" w:tentative="0">
      <w:start w:val="1"/>
      <w:numFmt w:val="chineseCounting"/>
      <w:suff w:val="nothing"/>
      <w:lvlText w:val="%1、"/>
      <w:lvlJc w:val="left"/>
      <w:rPr>
        <w:rFonts w:hint="eastAsia"/>
      </w:rPr>
    </w:lvl>
  </w:abstractNum>
  <w:abstractNum w:abstractNumId="1">
    <w:nsid w:val="E3F42AF2"/>
    <w:multiLevelType w:val="singleLevel"/>
    <w:tmpl w:val="E3F42AF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1OTk2NmI0Y2U5Nzg1MDM5ZGE5ZDQwMDA5MzllZjgifQ=="/>
  </w:docVars>
  <w:rsids>
    <w:rsidRoot w:val="003D0486"/>
    <w:rsid w:val="00050F00"/>
    <w:rsid w:val="000B3B72"/>
    <w:rsid w:val="003D0486"/>
    <w:rsid w:val="00683AEF"/>
    <w:rsid w:val="012B6BBF"/>
    <w:rsid w:val="08140E19"/>
    <w:rsid w:val="08C711B3"/>
    <w:rsid w:val="08F36A19"/>
    <w:rsid w:val="0A4736F4"/>
    <w:rsid w:val="0B2935A3"/>
    <w:rsid w:val="11706B63"/>
    <w:rsid w:val="14AA6509"/>
    <w:rsid w:val="1F0B6217"/>
    <w:rsid w:val="1F784E52"/>
    <w:rsid w:val="269169B3"/>
    <w:rsid w:val="28F811E9"/>
    <w:rsid w:val="2A377AEF"/>
    <w:rsid w:val="374675C3"/>
    <w:rsid w:val="3B8A1D5A"/>
    <w:rsid w:val="3C2A2ADB"/>
    <w:rsid w:val="3E3B7B31"/>
    <w:rsid w:val="41911D83"/>
    <w:rsid w:val="484369B5"/>
    <w:rsid w:val="49BA5C0A"/>
    <w:rsid w:val="4FF359B6"/>
    <w:rsid w:val="58202345"/>
    <w:rsid w:val="5E344903"/>
    <w:rsid w:val="637F38AA"/>
    <w:rsid w:val="6E0157DF"/>
    <w:rsid w:val="70F6526B"/>
    <w:rsid w:val="72E26492"/>
    <w:rsid w:val="73AF1A71"/>
    <w:rsid w:val="73C33842"/>
    <w:rsid w:val="7641283E"/>
    <w:rsid w:val="768070C1"/>
    <w:rsid w:val="76830313"/>
    <w:rsid w:val="790B5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sz w:val="44"/>
      <w:szCs w:val="20"/>
    </w:rPr>
  </w:style>
  <w:style w:type="paragraph" w:styleId="3">
    <w:name w:val="Plain Text"/>
    <w:basedOn w:val="1"/>
    <w:qFormat/>
    <w:uiPriority w:val="0"/>
    <w:rPr>
      <w:rFonts w:ascii="宋体" w:hAnsi="Courier New"/>
      <w:sz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qFormat/>
    <w:uiPriority w:val="0"/>
    <w:pPr>
      <w:ind w:left="0" w:firstLine="420" w:firstLineChars="2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655</Words>
  <Characters>696</Characters>
  <Lines>4</Lines>
  <Paragraphs>1</Paragraphs>
  <TotalTime>8</TotalTime>
  <ScaleCrop>false</ScaleCrop>
  <LinksUpToDate>false</LinksUpToDate>
  <CharactersWithSpaces>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hwl</cp:lastModifiedBy>
  <dcterms:modified xsi:type="dcterms:W3CDTF">2024-07-03T01:02:19Z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C1BC4C0718614A18BF09743A30F9D34F</vt:lpwstr>
  </property>
</Properties>
</file>