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广西国际壮医医院一层车库天花板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翻新维修工程</w:t>
      </w:r>
    </w:p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需求方案</w:t>
      </w:r>
    </w:p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ind w:left="0" w:leftChars="0" w:right="0" w:rightChars="0" w:firstLine="0" w:firstLineChars="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一、施工需求</w:t>
      </w:r>
    </w:p>
    <w:p>
      <w:pPr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院门诊住院综合楼一层车库天花板为腻子，因常年受潮湿气候影响，导致原天花板腻子受潮、霉变后不定时掉落，情况较为严重，对人员和车辆造成一定安全风险隐患，为解决此问题，现提出以下三点施工要求：</w:t>
      </w:r>
    </w:p>
    <w:p>
      <w:pPr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（一）铲除翻新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对一层车库受潮、霉变等部分区域进行铲除、翻新处理。</w:t>
      </w:r>
    </w:p>
    <w:p>
      <w:pPr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（二）成品保护</w:t>
      </w:r>
    </w:p>
    <w:p>
      <w:pPr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翻新维修天花板施工过程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中需对涉及施工区域的</w:t>
      </w:r>
      <w:r>
        <w:rPr>
          <w:rFonts w:hint="eastAsia" w:ascii="宋体" w:hAnsi="宋体" w:eastAsia="宋体" w:cs="宋体"/>
          <w:sz w:val="32"/>
          <w:szCs w:val="32"/>
        </w:rPr>
        <w:t>所有管道、桥架、照明以及地坪漆等成品，做好保护措施。</w:t>
      </w:r>
    </w:p>
    <w:p>
      <w:pPr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（三）车辆管控</w:t>
      </w:r>
    </w:p>
    <w:p>
      <w:pPr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由于现在停车场是正常使用状态，在翻新维修过程中需对车辆进行管控，以免对车辆造成不必要的损失。</w:t>
      </w:r>
    </w:p>
    <w:p>
      <w:pPr>
        <w:ind w:left="0" w:leftChars="0" w:right="0" w:rightChars="0" w:firstLine="640" w:firstLineChars="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二、翻新区域及工程量</w:t>
      </w: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（一）翻新区域</w:t>
      </w:r>
    </w:p>
    <w:p>
      <w:pPr>
        <w:ind w:left="0" w:leftChars="0" w:right="0" w:rightChars="0"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根据现场实际情况，需对一层车库以下两个部位天花板腻子进行铲除、翻新处理：</w:t>
      </w:r>
    </w:p>
    <w:p>
      <w:pPr>
        <w:ind w:left="0" w:leftChars="0" w:right="0" w:rightChars="0"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1.部位一翻新区域为平面图0-1-6轴～2-1轴交1-G轴～2-C轴中红色标注部分。</w:t>
      </w:r>
    </w:p>
    <w:p>
      <w:pPr>
        <w:ind w:left="0" w:leftChars="0" w:right="0" w:rightChars="0"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2.部位二翻新区域为平面图1-18轴～2-23轴交1-L轴～1-V轴中红色标注部分</w:t>
      </w:r>
    </w:p>
    <w:p>
      <w:pPr>
        <w:ind w:left="0" w:leftChars="0" w:right="0" w:rightChars="0" w:firstLine="0" w:firstLineChars="0"/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ind w:left="0" w:leftChars="0" w:right="0" w:rightChars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64135</wp:posOffset>
            </wp:positionV>
            <wp:extent cx="2334260" cy="3422650"/>
            <wp:effectExtent l="0" t="0" r="8890" b="6350"/>
            <wp:wrapSquare wrapText="bothSides"/>
            <wp:docPr id="5" name="图片 5" descr="a85b9da3bac7543084bdc7cc9d32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85b9da3bac7543084bdc7cc9d329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19685</wp:posOffset>
            </wp:positionV>
            <wp:extent cx="2279015" cy="3475355"/>
            <wp:effectExtent l="0" t="0" r="6985" b="10795"/>
            <wp:wrapSquare wrapText="bothSides"/>
            <wp:docPr id="6" name="图片 6" descr="eb8002b476110ff32c59a24fbcbc5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b8002b476110ff32c59a24fbcbc59c"/>
                    <pic:cNvPicPr>
                      <a:picLocks noChangeAspect="1"/>
                    </pic:cNvPicPr>
                  </pic:nvPicPr>
                  <pic:blipFill>
                    <a:blip r:embed="rId5"/>
                    <a:srcRect t="1386"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347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0" w:leftChars="0" w:right="0" w:rightChars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0" w:leftChars="0" w:right="0" w:rightChars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0" w:leftChars="0" w:right="0" w:rightChars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0" w:leftChars="0" w:right="0" w:rightChars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0" w:leftChars="0" w:right="0" w:rightChars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0" w:leftChars="0" w:right="0" w:rightChars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0" w:leftChars="0" w:right="0" w:rightChars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0" w:leftChars="0" w:right="0" w:rightChars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right="0" w:rightChars="0" w:firstLine="1680" w:firstLineChars="6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部位一                       部位二</w:t>
      </w:r>
    </w:p>
    <w:p>
      <w:pPr>
        <w:ind w:right="0" w:rightChars="0"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（二）工程量</w:t>
      </w:r>
    </w:p>
    <w:p>
      <w:pPr>
        <w:ind w:left="0" w:leftChars="0" w:right="0" w:rightChars="0" w:firstLine="640" w:firstLineChars="20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部位一天花板翻新展开面积约为3510平米，部位二天花板翻新展开面积约为3080平米。合计天花板翻新展开面积约为6590平米（最后以实际测量为准）。</w:t>
      </w:r>
    </w:p>
    <w:p>
      <w:pPr>
        <w:numPr>
          <w:ilvl w:val="0"/>
          <w:numId w:val="1"/>
        </w:numPr>
        <w:ind w:right="0" w:rightChars="0"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施工工艺</w:t>
      </w:r>
    </w:p>
    <w:p>
      <w:pPr>
        <w:numPr>
          <w:ilvl w:val="0"/>
          <w:numId w:val="0"/>
        </w:numPr>
        <w:ind w:right="0" w:rightChars="0" w:firstLine="64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天棚翻新做法参照15ZJ001（建筑构造用料做法），并结合实际情况，做法为：</w:t>
      </w:r>
    </w:p>
    <w:p>
      <w:pPr>
        <w:numPr>
          <w:ilvl w:val="0"/>
          <w:numId w:val="0"/>
        </w:numPr>
        <w:ind w:right="0" w:rightChars="0"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（一）混凝土板底铲除原腻子和涂料层；</w:t>
      </w:r>
    </w:p>
    <w:p>
      <w:pPr>
        <w:numPr>
          <w:ilvl w:val="0"/>
          <w:numId w:val="0"/>
        </w:numPr>
        <w:ind w:right="0" w:rightChars="0" w:firstLine="640" w:firstLineChars="20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（二）混凝土板底清理干净；</w:t>
      </w:r>
    </w:p>
    <w:p>
      <w:pPr>
        <w:numPr>
          <w:ilvl w:val="0"/>
          <w:numId w:val="0"/>
        </w:numPr>
        <w:ind w:right="0" w:rightChars="0" w:firstLine="640" w:firstLineChars="20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（三）滚涂一道界面处理剂；</w:t>
      </w:r>
    </w:p>
    <w:p>
      <w:pPr>
        <w:numPr>
          <w:ilvl w:val="0"/>
          <w:numId w:val="0"/>
        </w:numPr>
        <w:ind w:right="0" w:rightChars="0" w:firstLine="640" w:firstLineChars="20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（四）乳胶漆一底一面。</w:t>
      </w:r>
    </w:p>
    <w:p>
      <w:pPr>
        <w:ind w:right="0" w:rightChars="0" w:firstLine="640" w:firstLineChars="20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备注：乳胶漆需选中上档品牌，腻子需按《建筑室内用腻子》JG/T298标准执行。</w:t>
      </w:r>
    </w:p>
    <w:p>
      <w:pPr>
        <w:ind w:right="0" w:rightChars="0"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right="0" w:rightChars="0"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四、一层车库天花板现状影像资料</w:t>
      </w:r>
    </w:p>
    <w:p>
      <w:pPr>
        <w:ind w:right="0" w:rightChars="0" w:firstLine="56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797560</wp:posOffset>
            </wp:positionV>
            <wp:extent cx="4067810" cy="3051175"/>
            <wp:effectExtent l="0" t="0" r="15875" b="8890"/>
            <wp:wrapSquare wrapText="bothSides"/>
            <wp:docPr id="3" name="图片 3" descr="C:\Users\PC-Construction\Desktop\b6c61bfd550eae7c8ad0c4e722f07ca.jpgb6c61bfd550eae7c8ad0c4e722f07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PC-Construction\Desktop\b6c61bfd550eae7c8ad0c4e722f07ca.jpgb6c61bfd550eae7c8ad0c4e722f07ca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781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809625</wp:posOffset>
            </wp:positionV>
            <wp:extent cx="3990975" cy="2993390"/>
            <wp:effectExtent l="0" t="0" r="16510" b="9525"/>
            <wp:wrapSquare wrapText="bothSides"/>
            <wp:docPr id="4" name="图片 4" descr="C:\Users\PC-Construction\Desktop\c8e4f28117e75c8fac06ee3e6653f30.jpgc8e4f28117e75c8fac06ee3e6653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PC-Construction\Desktop\c8e4f28117e75c8fac06ee3e6653f30.jpgc8e4f28117e75c8fac06ee3e6653f3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0975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right="0" w:rightChars="0"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4683F5"/>
    <w:multiLevelType w:val="singleLevel"/>
    <w:tmpl w:val="8C4683F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MjNmNTU3ZTE3NTliYTIwOGVmODI4MjBmN2RiOTEifQ=="/>
    <w:docVar w:name="KSO_WPS_MARK_KEY" w:val="cd9d5fcc-7ebf-42e3-b223-5f39bfa9ffa8"/>
  </w:docVars>
  <w:rsids>
    <w:rsidRoot w:val="0DC9742C"/>
    <w:rsid w:val="00704336"/>
    <w:rsid w:val="00D9637F"/>
    <w:rsid w:val="020411DA"/>
    <w:rsid w:val="06530982"/>
    <w:rsid w:val="08B1373D"/>
    <w:rsid w:val="0AF142C5"/>
    <w:rsid w:val="0BB80B48"/>
    <w:rsid w:val="0BD0037E"/>
    <w:rsid w:val="0D814026"/>
    <w:rsid w:val="0DC9742C"/>
    <w:rsid w:val="0F5D461F"/>
    <w:rsid w:val="0FA760F9"/>
    <w:rsid w:val="0FE60171"/>
    <w:rsid w:val="10817E99"/>
    <w:rsid w:val="11586E4C"/>
    <w:rsid w:val="12EF558E"/>
    <w:rsid w:val="15A87E65"/>
    <w:rsid w:val="15EE4223"/>
    <w:rsid w:val="17251F3E"/>
    <w:rsid w:val="179B426C"/>
    <w:rsid w:val="1A2975D8"/>
    <w:rsid w:val="1BFE6842"/>
    <w:rsid w:val="1E012619"/>
    <w:rsid w:val="1E1C7453"/>
    <w:rsid w:val="1F813A12"/>
    <w:rsid w:val="212B00D9"/>
    <w:rsid w:val="217A1B37"/>
    <w:rsid w:val="21A12149"/>
    <w:rsid w:val="21B300CF"/>
    <w:rsid w:val="23CB0E73"/>
    <w:rsid w:val="26FB67A0"/>
    <w:rsid w:val="273870AC"/>
    <w:rsid w:val="2B472BC8"/>
    <w:rsid w:val="2B8D373E"/>
    <w:rsid w:val="2C11611D"/>
    <w:rsid w:val="2C8763E0"/>
    <w:rsid w:val="2C950AFD"/>
    <w:rsid w:val="2CF9108B"/>
    <w:rsid w:val="2D1934DC"/>
    <w:rsid w:val="2D4D13D7"/>
    <w:rsid w:val="30551463"/>
    <w:rsid w:val="31FB21FD"/>
    <w:rsid w:val="359F29EC"/>
    <w:rsid w:val="385120BD"/>
    <w:rsid w:val="39C75319"/>
    <w:rsid w:val="3A9E3272"/>
    <w:rsid w:val="3C07770A"/>
    <w:rsid w:val="3D0575D8"/>
    <w:rsid w:val="3D7459D7"/>
    <w:rsid w:val="3DA23079"/>
    <w:rsid w:val="3DBD7EB3"/>
    <w:rsid w:val="3DD376D7"/>
    <w:rsid w:val="3E691DE9"/>
    <w:rsid w:val="3E774506"/>
    <w:rsid w:val="3EAC3DCE"/>
    <w:rsid w:val="3ED74FA5"/>
    <w:rsid w:val="3F32042D"/>
    <w:rsid w:val="403501D5"/>
    <w:rsid w:val="40A1586A"/>
    <w:rsid w:val="4185315A"/>
    <w:rsid w:val="429D54E1"/>
    <w:rsid w:val="42D53EF1"/>
    <w:rsid w:val="4496320C"/>
    <w:rsid w:val="44E519FC"/>
    <w:rsid w:val="47633879"/>
    <w:rsid w:val="4E2B2C17"/>
    <w:rsid w:val="4F766114"/>
    <w:rsid w:val="5303434E"/>
    <w:rsid w:val="562E7748"/>
    <w:rsid w:val="581E1238"/>
    <w:rsid w:val="594A4211"/>
    <w:rsid w:val="5E4C4C10"/>
    <w:rsid w:val="60C34F31"/>
    <w:rsid w:val="63DC1721"/>
    <w:rsid w:val="643D3E2A"/>
    <w:rsid w:val="67F43CC1"/>
    <w:rsid w:val="69EE2496"/>
    <w:rsid w:val="6A793230"/>
    <w:rsid w:val="6B4A697B"/>
    <w:rsid w:val="6B715CB5"/>
    <w:rsid w:val="6CF52372"/>
    <w:rsid w:val="6DEA1D4F"/>
    <w:rsid w:val="70CB5E68"/>
    <w:rsid w:val="721455EC"/>
    <w:rsid w:val="72B8066E"/>
    <w:rsid w:val="79536E58"/>
    <w:rsid w:val="7A5C5D83"/>
    <w:rsid w:val="7B7D4202"/>
    <w:rsid w:val="7D4F1BCF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481</Words>
  <Characters>530</Characters>
  <Lines>0</Lines>
  <Paragraphs>0</Paragraphs>
  <TotalTime>1</TotalTime>
  <ScaleCrop>false</ScaleCrop>
  <LinksUpToDate>false</LinksUpToDate>
  <CharactersWithSpaces>578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2024-02-05T04:04:00Z</dcterms:created>
  <dc:creator>PC-Construction</dc:creator>
  <cp:lastModifiedBy>Administrator</cp:lastModifiedBy>
  <dcterms:modified xsi:type="dcterms:W3CDTF">2024-04-25T03:43:36Z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70DC82DC571A4C43A7C5B93E542C8D76_11</vt:lpwstr>
  </property>
</Properties>
</file>