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广西</w:t>
      </w:r>
      <w:bookmarkStart w:id="0" w:name="_GoBack"/>
      <w:bookmarkEnd w:id="0"/>
      <w:r>
        <w:rPr>
          <w:rFonts w:hint="eastAsia" w:ascii="宋体" w:hAnsi="宋体" w:eastAsia="宋体"/>
          <w:b/>
          <w:bCs/>
          <w:sz w:val="36"/>
          <w:szCs w:val="36"/>
        </w:rPr>
        <w:t>国际壮医医院主动健康服务平台</w:t>
      </w:r>
      <w:r>
        <w:rPr>
          <w:rFonts w:hint="eastAsia" w:ascii="宋体" w:hAnsi="宋体" w:eastAsia="宋体"/>
          <w:b/>
          <w:bCs/>
          <w:sz w:val="36"/>
          <w:szCs w:val="36"/>
          <w:lang w:val="en-US" w:eastAsia="zh-CN"/>
        </w:rPr>
        <w:t>需求</w:t>
      </w:r>
    </w:p>
    <w:p>
      <w:pPr>
        <w:jc w:val="center"/>
        <w:rPr>
          <w:rFonts w:hint="eastAsia" w:ascii="宋体" w:hAnsi="宋体" w:eastAsia="宋体"/>
          <w:b/>
          <w:bCs/>
          <w:sz w:val="36"/>
          <w:szCs w:val="36"/>
          <w:lang w:val="en-US" w:eastAsia="zh-CN"/>
        </w:rPr>
      </w:pPr>
    </w:p>
    <w:p>
      <w:pPr>
        <w:spacing w:before="81" w:after="81"/>
        <w:ind w:firstLine="56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主动健康服务平台主要建设内容包括以下八大部分内容：</w:t>
      </w:r>
    </w:p>
    <w:p>
      <w:pPr>
        <w:numPr>
          <w:ilvl w:val="0"/>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疾病引擎：建设疾病引擎即以疾病本身发展规律与临床表现为主要依据，通过抽象疾病风险因子以及临床诊断依据，实现对疾病引擎的定义与设置，并最终通过对健康与临床数据的索引与分析，实现对患者风险高效、快速、准确的排查。</w:t>
      </w:r>
    </w:p>
    <w:p>
      <w:pPr>
        <w:numPr>
          <w:ilvl w:val="0"/>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疾病与风险模型：疾病与风险模型即以疾病症状以及发展规律结合临床经验与防治指南、专家共识等众多业务标准与规范，实现对相同疾病不同危急程度的划分与定义，结合疾病引擎给与医护人员快速确定风险与管理标准的依据与参照。</w:t>
      </w:r>
    </w:p>
    <w:p>
      <w:pPr>
        <w:numPr>
          <w:ilvl w:val="0"/>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健康管理体系：健康管理体系涉及内容较多，涵盖范围较广，本次健康管理体系建设主要是针对定义的疾病与风险模型而言，通过对已经明确与定义的疾病与风险模型，匹配科学的、完善的、专业化的健康管理服务内容，并最终实现对患者的告知以及医护服务的提醒等功能。</w:t>
      </w:r>
    </w:p>
    <w:p>
      <w:pPr>
        <w:numPr>
          <w:ilvl w:val="0"/>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知识库：知识库是构建主动健康服务的基础，通过对不同知识类别的划分，包括睡眠、运动、膳食、中医药、心理等方面知识内容的梳理与设定，满足对健康管理对象知识推送与告知功能。</w:t>
      </w:r>
    </w:p>
    <w:p>
      <w:pPr>
        <w:numPr>
          <w:ilvl w:val="0"/>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智能服务平台：智能服务平台是通过对不同消息与内容传递方式的整合，实现通知、公告、消息、计划、问卷与随访等内容高效推送病患，避免用户对推送内容的反感以及遗失情况的发生。</w:t>
      </w:r>
    </w:p>
    <w:p>
      <w:pPr>
        <w:numPr>
          <w:ilvl w:val="0"/>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开放与共享平台：开发与共享平台是医院面向第三方服务机构以及下级医疗卫生服务单位所提供的包括：知识库，智能服务，疾病引擎等在内的主动健康服务能力，通过数据开发与能力共享，实现对不具备主动健康服务能力的机构赋能的作用。</w:t>
      </w:r>
    </w:p>
    <w:p>
      <w:pPr>
        <w:numPr>
          <w:ilvl w:val="0"/>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医疗科研与健康大数据平台：医疗科研与健康大数据平台是主动健康平台的重要组成部分，其通过对门诊、体检、住院、可穿戴设备等众多数据的汇聚与梳理，为专科、专病、医院管理、科室建设、服务考核等提供数据资源与保障，为科学的管理、考核、业务开展等提供数据要素。</w:t>
      </w:r>
    </w:p>
    <w:p>
      <w:pPr>
        <w:numPr>
          <w:ilvl w:val="0"/>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监管与展示平台：监督与展示平台是在大数据平台的基础上通过数理模型与统计方式，实现对业务、服务进行即时、准确的展示与统计效果。</w:t>
      </w:r>
    </w:p>
    <w:p>
      <w:pPr>
        <w:spacing w:before="81" w:after="81"/>
        <w:ind w:firstLine="56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广西国际壮医医院希望通过主动健康服务平台建设希望能够达到一下目标：</w:t>
      </w:r>
    </w:p>
    <w:p>
      <w:pPr>
        <w:numPr>
          <w:ilvl w:val="0"/>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医院层面：</w:t>
      </w:r>
    </w:p>
    <w:p>
      <w:pPr>
        <w:numPr>
          <w:ilvl w:val="1"/>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权威与专业的健康管理与服务支撑体系；</w:t>
      </w:r>
    </w:p>
    <w:p>
      <w:pPr>
        <w:numPr>
          <w:ilvl w:val="1"/>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 xml:space="preserve"> 医疗与健康科研国家级平台；</w:t>
      </w:r>
    </w:p>
    <w:p>
      <w:pPr>
        <w:numPr>
          <w:ilvl w:val="1"/>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全人群、全周期、全覆盖的医疗健康大数据平台；</w:t>
      </w:r>
    </w:p>
    <w:p>
      <w:pPr>
        <w:numPr>
          <w:ilvl w:val="1"/>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完善且科学的主动健康引擎与疾病模型；</w:t>
      </w:r>
    </w:p>
    <w:p>
      <w:pPr>
        <w:numPr>
          <w:ilvl w:val="1"/>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专业、高效的本地化技术支持与信息化保障能力；</w:t>
      </w:r>
    </w:p>
    <w:p>
      <w:pPr>
        <w:numPr>
          <w:ilvl w:val="1"/>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等等</w:t>
      </w:r>
    </w:p>
    <w:p>
      <w:pPr>
        <w:numPr>
          <w:ilvl w:val="0"/>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服务层面</w:t>
      </w:r>
    </w:p>
    <w:p>
      <w:pPr>
        <w:numPr>
          <w:ilvl w:val="1"/>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高端医疗服务资源触手可及；</w:t>
      </w:r>
    </w:p>
    <w:p>
      <w:pPr>
        <w:numPr>
          <w:ilvl w:val="1"/>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全周期，全域的健康管理保障；</w:t>
      </w:r>
    </w:p>
    <w:p>
      <w:pPr>
        <w:numPr>
          <w:ilvl w:val="1"/>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提升健康服务感知、降低医疗费用支出、减免疾病摧残身心、保障个人（家人）健康；</w:t>
      </w:r>
    </w:p>
    <w:p>
      <w:pPr>
        <w:numPr>
          <w:ilvl w:val="1"/>
          <w:numId w:val="1"/>
        </w:numPr>
        <w:spacing w:before="81" w:after="81"/>
        <w:ind w:firstLineChars="0"/>
        <w:rPr>
          <w:rFonts w:hint="eastAsia" w:ascii="宋体" w:hAnsi="宋体" w:eastAsia="宋体"/>
          <w:color w:val="333333"/>
          <w:sz w:val="28"/>
          <w:shd w:val="clear" w:color="auto" w:fill="FFFFFF"/>
        </w:rPr>
      </w:pPr>
      <w:r>
        <w:rPr>
          <w:rFonts w:hint="eastAsia" w:ascii="宋体" w:hAnsi="宋体" w:eastAsia="宋体"/>
          <w:color w:val="333333"/>
          <w:sz w:val="28"/>
          <w:shd w:val="clear" w:color="auto" w:fill="FFFFFF"/>
        </w:rPr>
        <w:t>等等</w:t>
      </w:r>
    </w:p>
    <w:p>
      <w:pPr>
        <w:jc w:val="both"/>
        <w:rPr>
          <w:rFonts w:hint="eastAsia" w:ascii="宋体" w:hAnsi="宋体" w:eastAsia="宋体"/>
          <w:b/>
          <w:bCs/>
          <w:sz w:val="21"/>
          <w:szCs w:val="21"/>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1067A"/>
    <w:multiLevelType w:val="multilevel"/>
    <w:tmpl w:val="3341067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Q3ZWExZDRhMThkZmI4N2NjOTRmMzc1OWRjYmEifQ=="/>
  </w:docVars>
  <w:rsids>
    <w:rsidRoot w:val="73336CBA"/>
    <w:rsid w:val="4B1D294C"/>
    <w:rsid w:val="7333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2024-04-19T03:22:00Z</dcterms:created>
  <dc:creator>紫星涔</dc:creator>
  <cp:lastModifiedBy>紫星涔</cp:lastModifiedBy>
  <dcterms:modified xsi:type="dcterms:W3CDTF">2024-04-19T09:47:55Z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DB0FC692DAF74153ADC961AAC209297E_11</vt:lpwstr>
  </property>
</Properties>
</file>