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2"/>
        </w:tabs>
        <w:adjustRightInd w:val="0"/>
        <w:snapToGrid w:val="0"/>
        <w:spacing w:line="360" w:lineRule="auto"/>
        <w:ind w:firstLine="803" w:firstLineChars="200"/>
        <w:jc w:val="center"/>
        <w:rPr>
          <w:rFonts w:hint="default" w:ascii="Times New Roman" w:hAnsiTheme="minorEastAsia" w:eastAsiaTheme="minorEastAsia"/>
          <w:b/>
          <w:bCs w:val="0"/>
          <w:i w:val="0"/>
          <w:iCs w:val="0"/>
          <w:color w:val="auto"/>
          <w:sz w:val="40"/>
          <w:szCs w:val="40"/>
          <w:lang w:val="en-US" w:eastAsia="zh-CN"/>
        </w:rPr>
      </w:pPr>
      <w:r>
        <w:rPr>
          <w:rFonts w:hint="eastAsia" w:ascii="Times New Roman" w:hAnsiTheme="minorEastAsia" w:eastAsiaTheme="minorEastAsia"/>
          <w:b/>
          <w:bCs w:val="0"/>
          <w:i w:val="0"/>
          <w:iCs w:val="0"/>
          <w:color w:val="auto"/>
          <w:sz w:val="40"/>
          <w:szCs w:val="40"/>
          <w:lang w:val="en-US" w:eastAsia="zh-CN"/>
        </w:rPr>
        <w:t>毒性试验方案</w:t>
      </w:r>
    </w:p>
    <w:p>
      <w:pPr>
        <w:tabs>
          <w:tab w:val="left" w:pos="312"/>
        </w:tabs>
        <w:adjustRightInd w:val="0"/>
        <w:snapToGrid w:val="0"/>
        <w:spacing w:line="360" w:lineRule="auto"/>
        <w:ind w:firstLine="562" w:firstLineChars="200"/>
        <w:rPr>
          <w:rFonts w:ascii="Times New Roman" w:hAnsiTheme="minorEastAsia" w:eastAsiaTheme="minorEastAsia"/>
          <w:b/>
          <w:color w:val="auto"/>
          <w:sz w:val="28"/>
          <w:szCs w:val="28"/>
        </w:rPr>
      </w:pPr>
    </w:p>
    <w:p>
      <w:pPr>
        <w:tabs>
          <w:tab w:val="left" w:pos="312"/>
        </w:tabs>
        <w:adjustRightInd w:val="0"/>
        <w:snapToGrid w:val="0"/>
        <w:spacing w:line="360" w:lineRule="auto"/>
        <w:ind w:firstLine="562" w:firstLineChars="200"/>
        <w:rPr>
          <w:rFonts w:ascii="Times New Roman" w:hAnsi="Times New Roman" w:eastAsiaTheme="minorEastAsia"/>
          <w:b/>
          <w:color w:val="auto"/>
          <w:sz w:val="28"/>
          <w:szCs w:val="28"/>
        </w:rPr>
      </w:pPr>
      <w:r>
        <w:rPr>
          <w:rFonts w:ascii="Times New Roman" w:hAnsiTheme="minorEastAsia" w:eastAsiaTheme="minorEastAsia"/>
          <w:b/>
          <w:color w:val="auto"/>
          <w:sz w:val="28"/>
          <w:szCs w:val="28"/>
        </w:rPr>
        <w:t>一、急性毒性实验（最大给药量试验）</w:t>
      </w:r>
    </w:p>
    <w:p>
      <w:pPr>
        <w:widowControl/>
        <w:adjustRightInd w:val="0"/>
        <w:spacing w:line="360" w:lineRule="auto"/>
        <w:ind w:firstLine="480" w:firstLineChars="200"/>
        <w:jc w:val="left"/>
        <w:rPr>
          <w:rFonts w:ascii="Times New Roman" w:hAnsi="Times New Roman" w:eastAsiaTheme="minorEastAsia"/>
          <w:color w:val="auto"/>
          <w:sz w:val="24"/>
        </w:rPr>
      </w:pPr>
      <w:r>
        <w:rPr>
          <w:rFonts w:ascii="Times New Roman" w:hAnsiTheme="minorEastAsia" w:eastAsiaTheme="minorEastAsia"/>
          <w:color w:val="auto"/>
          <w:sz w:val="24"/>
        </w:rPr>
        <w:t>小鼠</w:t>
      </w:r>
      <w:r>
        <w:rPr>
          <w:rFonts w:ascii="Times New Roman" w:hAnsi="Times New Roman" w:eastAsiaTheme="minorEastAsia"/>
          <w:color w:val="auto"/>
          <w:sz w:val="24"/>
        </w:rPr>
        <w:t>40</w:t>
      </w:r>
      <w:r>
        <w:rPr>
          <w:rFonts w:ascii="Times New Roman" w:hAnsiTheme="minorEastAsia" w:eastAsiaTheme="minorEastAsia"/>
          <w:color w:val="auto"/>
          <w:sz w:val="24"/>
        </w:rPr>
        <w:t>只，设给药组及对照组各</w:t>
      </w:r>
      <w:r>
        <w:rPr>
          <w:rFonts w:ascii="Times New Roman" w:hAnsi="Times New Roman" w:eastAsiaTheme="minorEastAsia"/>
          <w:color w:val="auto"/>
          <w:sz w:val="24"/>
        </w:rPr>
        <w:t>20</w:t>
      </w:r>
      <w:r>
        <w:rPr>
          <w:rFonts w:ascii="Times New Roman" w:hAnsiTheme="minorEastAsia" w:eastAsiaTheme="minorEastAsia"/>
          <w:color w:val="auto"/>
          <w:sz w:val="24"/>
        </w:rPr>
        <w:t>只，雌雄各半，分性别饲养。禁食</w:t>
      </w:r>
      <w:r>
        <w:rPr>
          <w:rFonts w:ascii="Times New Roman" w:hAnsi="Times New Roman" w:eastAsiaTheme="minorEastAsia"/>
          <w:color w:val="auto"/>
          <w:sz w:val="24"/>
        </w:rPr>
        <w:t>12 h</w:t>
      </w:r>
      <w:r>
        <w:rPr>
          <w:rFonts w:ascii="Times New Roman" w:hAnsiTheme="minorEastAsia" w:eastAsiaTheme="minorEastAsia"/>
          <w:color w:val="auto"/>
          <w:sz w:val="24"/>
        </w:rPr>
        <w:t>后，给药组一天内给小鼠灌胃给药</w:t>
      </w:r>
      <w:r>
        <w:rPr>
          <w:rFonts w:ascii="Times New Roman" w:hAnsi="Times New Roman" w:eastAsiaTheme="minorEastAsia"/>
          <w:color w:val="auto"/>
          <w:sz w:val="24"/>
        </w:rPr>
        <w:t>2</w:t>
      </w:r>
      <w:r>
        <w:rPr>
          <w:rFonts w:ascii="Times New Roman" w:hAnsiTheme="minorEastAsia" w:eastAsiaTheme="minorEastAsia"/>
          <w:color w:val="auto"/>
          <w:sz w:val="24"/>
        </w:rPr>
        <w:t>次最大浓度药物（以灌胃器能抽吸为度），每次</w:t>
      </w:r>
      <w:r>
        <w:rPr>
          <w:rFonts w:ascii="Times New Roman" w:hAnsi="Times New Roman" w:eastAsiaTheme="minorEastAsia"/>
          <w:color w:val="auto"/>
          <w:sz w:val="24"/>
        </w:rPr>
        <w:t>40 mL/kg</w:t>
      </w:r>
      <w:r>
        <w:rPr>
          <w:rFonts w:ascii="Times New Roman" w:hAnsiTheme="minorEastAsia" w:eastAsiaTheme="minorEastAsia"/>
          <w:color w:val="auto"/>
          <w:sz w:val="24"/>
        </w:rPr>
        <w:t>，间隔</w:t>
      </w:r>
      <w:r>
        <w:rPr>
          <w:rFonts w:ascii="Times New Roman" w:hAnsi="Times New Roman" w:eastAsiaTheme="minorEastAsia"/>
          <w:color w:val="auto"/>
          <w:sz w:val="24"/>
        </w:rPr>
        <w:t>8 h</w:t>
      </w:r>
      <w:r>
        <w:rPr>
          <w:rFonts w:ascii="Times New Roman" w:hAnsiTheme="minorEastAsia" w:eastAsiaTheme="minorEastAsia"/>
          <w:color w:val="auto"/>
          <w:sz w:val="24"/>
        </w:rPr>
        <w:t>，对照组同法予以等体积蒸馏水。给药后观察两周内动物的一般活动情况及存活情况。</w:t>
      </w:r>
      <w:bookmarkStart w:id="0" w:name="_GoBack"/>
      <w:bookmarkEnd w:id="0"/>
    </w:p>
    <w:p>
      <w:pPr>
        <w:widowControl/>
        <w:adjustRightInd w:val="0"/>
        <w:spacing w:line="360" w:lineRule="auto"/>
        <w:ind w:firstLine="562" w:firstLineChars="200"/>
        <w:jc w:val="left"/>
        <w:rPr>
          <w:rFonts w:ascii="Times New Roman" w:hAnsi="Times New Roman" w:eastAsiaTheme="minorEastAsia"/>
          <w:b/>
          <w:color w:val="auto"/>
          <w:sz w:val="28"/>
          <w:szCs w:val="28"/>
        </w:rPr>
      </w:pPr>
      <w:r>
        <w:rPr>
          <w:rFonts w:ascii="Times New Roman" w:hAnsiTheme="minorEastAsia" w:eastAsiaTheme="minorEastAsia"/>
          <w:b/>
          <w:color w:val="auto"/>
          <w:sz w:val="28"/>
          <w:szCs w:val="28"/>
        </w:rPr>
        <w:t>二、长期毒性实验（</w:t>
      </w:r>
      <w:r>
        <w:rPr>
          <w:rFonts w:ascii="Times New Roman" w:hAnsi="Times New Roman" w:eastAsiaTheme="minorEastAsia"/>
          <w:b/>
          <w:color w:val="auto"/>
          <w:sz w:val="28"/>
          <w:szCs w:val="28"/>
        </w:rPr>
        <w:t>30</w:t>
      </w:r>
      <w:r>
        <w:rPr>
          <w:rFonts w:ascii="Times New Roman" w:hAnsiTheme="minorEastAsia" w:eastAsiaTheme="minorEastAsia"/>
          <w:b/>
          <w:color w:val="auto"/>
          <w:sz w:val="28"/>
          <w:szCs w:val="28"/>
        </w:rPr>
        <w:t>天）</w:t>
      </w:r>
    </w:p>
    <w:p>
      <w:pPr>
        <w:adjustRightInd w:val="0"/>
        <w:snapToGrid w:val="0"/>
        <w:spacing w:line="360" w:lineRule="auto"/>
        <w:ind w:firstLine="480" w:firstLineChars="200"/>
        <w:outlineLvl w:val="0"/>
        <w:rPr>
          <w:rFonts w:ascii="Times New Roman" w:hAnsi="Times New Roman" w:eastAsiaTheme="minorEastAsia"/>
          <w:color w:val="000000"/>
          <w:sz w:val="24"/>
        </w:rPr>
      </w:pPr>
      <w:r>
        <w:rPr>
          <w:rFonts w:ascii="Times New Roman" w:hAnsi="Times New Roman" w:eastAsiaTheme="minorEastAsia"/>
          <w:color w:val="auto"/>
          <w:sz w:val="24"/>
        </w:rPr>
        <w:t xml:space="preserve"> </w:t>
      </w:r>
      <w:r>
        <w:rPr>
          <w:rFonts w:ascii="Times New Roman" w:hAnsiTheme="minorEastAsia" w:eastAsiaTheme="minorEastAsia"/>
          <w:color w:val="auto"/>
          <w:sz w:val="24"/>
        </w:rPr>
        <w:t>选取健康</w:t>
      </w:r>
      <w:r>
        <w:rPr>
          <w:rFonts w:ascii="Times New Roman" w:hAnsi="Times New Roman" w:eastAsiaTheme="minorEastAsia"/>
          <w:color w:val="auto"/>
          <w:sz w:val="24"/>
        </w:rPr>
        <w:t>SD</w:t>
      </w:r>
      <w:r>
        <w:rPr>
          <w:rFonts w:ascii="Times New Roman" w:hAnsiTheme="minorEastAsia" w:eastAsiaTheme="minorEastAsia"/>
          <w:color w:val="auto"/>
          <w:sz w:val="24"/>
        </w:rPr>
        <w:t>大鼠</w:t>
      </w:r>
      <w:r>
        <w:rPr>
          <w:rFonts w:ascii="Times New Roman" w:hAnsi="Times New Roman" w:eastAsiaTheme="minorEastAsia"/>
          <w:color w:val="auto"/>
          <w:sz w:val="24"/>
        </w:rPr>
        <w:t>120</w:t>
      </w:r>
      <w:r>
        <w:rPr>
          <w:rFonts w:ascii="Times New Roman" w:hAnsiTheme="minorEastAsia" w:eastAsiaTheme="minorEastAsia"/>
          <w:color w:val="auto"/>
          <w:sz w:val="24"/>
        </w:rPr>
        <w:t>只，体重</w:t>
      </w:r>
      <w:r>
        <w:rPr>
          <w:rFonts w:ascii="Times New Roman" w:hAnsi="Times New Roman" w:eastAsiaTheme="minorEastAsia"/>
          <w:color w:val="auto"/>
          <w:sz w:val="24"/>
        </w:rPr>
        <w:t>100</w:t>
      </w:r>
      <w:r>
        <w:rPr>
          <w:rFonts w:ascii="Times New Roman" w:hAnsiTheme="minorEastAsia" w:eastAsiaTheme="minorEastAsia"/>
          <w:color w:val="auto"/>
          <w:sz w:val="24"/>
        </w:rPr>
        <w:t>～</w:t>
      </w:r>
      <w:r>
        <w:rPr>
          <w:rFonts w:ascii="Times New Roman" w:hAnsi="Times New Roman" w:eastAsiaTheme="minorEastAsia"/>
          <w:color w:val="auto"/>
          <w:sz w:val="24"/>
        </w:rPr>
        <w:t>120g</w:t>
      </w:r>
      <w:r>
        <w:rPr>
          <w:rFonts w:ascii="Times New Roman" w:hAnsiTheme="minorEastAsia" w:eastAsiaTheme="minorEastAsia"/>
          <w:color w:val="auto"/>
          <w:sz w:val="24"/>
        </w:rPr>
        <w:t>，雌雄各半，随机分为</w:t>
      </w:r>
      <w:r>
        <w:rPr>
          <w:rFonts w:ascii="Times New Roman" w:hAnsi="Times New Roman" w:eastAsiaTheme="minorEastAsia"/>
          <w:color w:val="auto"/>
          <w:sz w:val="24"/>
        </w:rPr>
        <w:t>4</w:t>
      </w:r>
      <w:r>
        <w:rPr>
          <w:rFonts w:ascii="Times New Roman" w:hAnsiTheme="minorEastAsia" w:eastAsiaTheme="minorEastAsia"/>
          <w:color w:val="auto"/>
          <w:sz w:val="24"/>
        </w:rPr>
        <w:t>个组，每组</w:t>
      </w:r>
      <w:r>
        <w:rPr>
          <w:rFonts w:ascii="Times New Roman" w:hAnsi="Times New Roman" w:eastAsiaTheme="minorEastAsia"/>
          <w:color w:val="auto"/>
          <w:sz w:val="24"/>
        </w:rPr>
        <w:t>30</w:t>
      </w:r>
      <w:r>
        <w:rPr>
          <w:rFonts w:ascii="Times New Roman" w:hAnsiTheme="minorEastAsia" w:eastAsiaTheme="minorEastAsia"/>
          <w:color w:val="auto"/>
          <w:sz w:val="24"/>
        </w:rPr>
        <w:t>只。采用灌胃给药每天</w:t>
      </w:r>
      <w:r>
        <w:rPr>
          <w:rFonts w:ascii="Times New Roman" w:hAnsi="Times New Roman" w:eastAsiaTheme="minorEastAsia"/>
          <w:color w:val="auto"/>
          <w:sz w:val="24"/>
        </w:rPr>
        <w:t>1</w:t>
      </w:r>
      <w:r>
        <w:rPr>
          <w:rFonts w:ascii="Times New Roman" w:hAnsiTheme="minorEastAsia" w:eastAsiaTheme="minorEastAsia"/>
          <w:color w:val="auto"/>
          <w:sz w:val="24"/>
        </w:rPr>
        <w:t>次，每次</w:t>
      </w:r>
      <w:r>
        <w:rPr>
          <w:rFonts w:ascii="Times New Roman" w:hAnsi="Times New Roman" w:eastAsiaTheme="minorEastAsia"/>
          <w:color w:val="auto"/>
          <w:sz w:val="24"/>
        </w:rPr>
        <w:t>10mL/kg</w:t>
      </w:r>
      <w:r>
        <w:rPr>
          <w:rFonts w:ascii="Times New Roman" w:hAnsiTheme="minorEastAsia" w:eastAsiaTheme="minorEastAsia"/>
          <w:color w:val="000000"/>
          <w:sz w:val="24"/>
        </w:rPr>
        <w:t>体重。剂量设置分别为临床日剂量的</w:t>
      </w:r>
      <w:r>
        <w:rPr>
          <w:rFonts w:ascii="Times New Roman" w:hAnsi="Times New Roman" w:eastAsiaTheme="minorEastAsia"/>
          <w:color w:val="000000"/>
          <w:sz w:val="24"/>
        </w:rPr>
        <w:t>60</w:t>
      </w:r>
      <w:r>
        <w:rPr>
          <w:rFonts w:ascii="Times New Roman" w:hAnsiTheme="minorEastAsia" w:eastAsiaTheme="minorEastAsia"/>
          <w:color w:val="000000"/>
          <w:sz w:val="24"/>
        </w:rPr>
        <w:t>倍、</w:t>
      </w:r>
      <w:r>
        <w:rPr>
          <w:rFonts w:ascii="Times New Roman" w:hAnsi="Times New Roman" w:eastAsiaTheme="minorEastAsia"/>
          <w:color w:val="000000"/>
          <w:sz w:val="24"/>
        </w:rPr>
        <w:t>30</w:t>
      </w:r>
      <w:r>
        <w:rPr>
          <w:rFonts w:ascii="Times New Roman" w:hAnsiTheme="minorEastAsia" w:eastAsiaTheme="minorEastAsia"/>
          <w:color w:val="000000"/>
          <w:sz w:val="24"/>
        </w:rPr>
        <w:t>倍、</w:t>
      </w:r>
      <w:r>
        <w:rPr>
          <w:rFonts w:ascii="Times New Roman" w:hAnsi="Times New Roman" w:eastAsiaTheme="minorEastAsia"/>
          <w:color w:val="000000"/>
          <w:sz w:val="24"/>
        </w:rPr>
        <w:t>15</w:t>
      </w:r>
      <w:r>
        <w:rPr>
          <w:rFonts w:ascii="Times New Roman" w:hAnsiTheme="minorEastAsia" w:eastAsiaTheme="minorEastAsia"/>
          <w:color w:val="000000"/>
          <w:sz w:val="24"/>
        </w:rPr>
        <w:t>倍三个剂量组和一个对照组。对照组给等量蒸馏水。给药后每周称一次体重，按体重调整给药量。给药期间观察动物进食、活动、粪便等一般表现及毒性反应情况，每周测一次摄食量。末次给药后第二天，每组处死</w:t>
      </w:r>
      <w:r>
        <w:rPr>
          <w:rFonts w:ascii="Times New Roman" w:hAnsi="Times New Roman" w:eastAsiaTheme="minorEastAsia"/>
          <w:color w:val="000000"/>
          <w:sz w:val="24"/>
        </w:rPr>
        <w:t>20</w:t>
      </w:r>
      <w:r>
        <w:rPr>
          <w:rFonts w:ascii="Times New Roman" w:hAnsiTheme="minorEastAsia" w:eastAsiaTheme="minorEastAsia"/>
          <w:color w:val="000000"/>
          <w:sz w:val="24"/>
        </w:rPr>
        <w:t>只大鼠，取血检测血液学和血液生化学指标。并取各动物的主要脏器称重，计算每</w:t>
      </w:r>
      <w:r>
        <w:rPr>
          <w:rFonts w:ascii="Times New Roman" w:hAnsi="Times New Roman" w:eastAsiaTheme="minorEastAsia"/>
          <w:color w:val="000000"/>
          <w:sz w:val="24"/>
        </w:rPr>
        <w:t>100g</w:t>
      </w:r>
      <w:r>
        <w:rPr>
          <w:rFonts w:ascii="Times New Roman" w:hAnsiTheme="minorEastAsia" w:eastAsiaTheme="minorEastAsia"/>
          <w:color w:val="000000"/>
          <w:sz w:val="24"/>
        </w:rPr>
        <w:t>体重相应脏器系数。同时留取各动物的主要脏器作病理组织学检查。剩余动物停药观察</w:t>
      </w:r>
      <w:r>
        <w:rPr>
          <w:rFonts w:ascii="Times New Roman" w:hAnsi="Times New Roman" w:eastAsiaTheme="minorEastAsia"/>
          <w:color w:val="000000"/>
          <w:sz w:val="24"/>
        </w:rPr>
        <w:t>4</w:t>
      </w:r>
      <w:r>
        <w:rPr>
          <w:rFonts w:ascii="Times New Roman" w:hAnsiTheme="minorEastAsia" w:eastAsiaTheme="minorEastAsia"/>
          <w:color w:val="000000"/>
          <w:sz w:val="24"/>
        </w:rPr>
        <w:t>周后，按同样方法检测上述指标，进行统计学分析，测定结果综合评价药物的安全性。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3ODE5YzllOTBjZDIyMWUxODk5YWI1NmY1ODhlYjQifQ=="/>
  </w:docVars>
  <w:rsids>
    <w:rsidRoot w:val="00000000"/>
    <w:rsid w:val="043B43C0"/>
    <w:rsid w:val="38887BBD"/>
    <w:rsid w:val="4A1E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2023-11-09T10:16:00Z</dcterms:created>
  <dc:creator>Administrator</dc:creator>
  <cp:lastModifiedBy>覃双宜</cp:lastModifiedBy>
  <dcterms:modified xsi:type="dcterms:W3CDTF">2024-04-19T09:27:15Z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884FAA66F0E24D55B83C0C958076D398_12</vt:lpwstr>
  </property>
</Properties>
</file>