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医疗设备维保服务项目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近期拟采购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重症医学科迈瑞呼吸机维保服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务项目</w:t>
      </w:r>
      <w:r>
        <w:rPr>
          <w:rFonts w:hint="eastAsia" w:ascii="仿宋" w:hAnsi="仿宋" w:eastAsia="仿宋" w:cs="仿宋"/>
          <w:kern w:val="2"/>
          <w:sz w:val="32"/>
          <w:szCs w:val="32"/>
        </w:rPr>
        <w:t>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各服务商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</w:rPr>
        <w:t>日截止。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服务商</w:t>
      </w:r>
      <w:r>
        <w:rPr>
          <w:rFonts w:hint="eastAsia" w:ascii="仿宋" w:hAnsi="仿宋" w:eastAsia="仿宋" w:cs="仿宋"/>
          <w:kern w:val="2"/>
          <w:sz w:val="32"/>
          <w:szCs w:val="32"/>
        </w:rPr>
        <w:t>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需求：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乙方对十台迈瑞呼吸机（具体型号、编号见表一）进行运维保障服务。</w:t>
      </w:r>
    </w:p>
    <w:tbl>
      <w:tblPr>
        <w:tblStyle w:val="9"/>
        <w:tblW w:w="86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16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电池故障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氧电池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涡轮警告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SV300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86006185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表一 重症医学科迈瑞需要维保的十台设备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乙方服务人员需获取相关维修服务资质，保修期内，乙方对设备进行保养和更换所损坏电路板及其它部件（包含氧电池、流量传感器），甲方不必再支付任何费用。所换配件为全新原装配件，且需有相关的资料证明其来源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维保生效后对科室购买维保的SV300的涡轮报警进行维护消警维护，并承诺对现已失效的配件进行维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护更换，并对机器进行一次保养套件更换。具体更换数量如下：原厂锂电池1块，氧传感器10个，年保养套件10个。另外，需要对涡轮空气机，数量为8台，对其进行报警消除、维护。若在维保有效时间内，涡轮无法运转后，依据第（二）条要求更换全新原装涡轮空压机配件，不允许进行二次维修。供货商现场检定工作人员须配合院方相关管理要求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甲方提出维修请求后，乙方电话响应时间不超过1小时，如需现场维修，乙方工程师到达甲方指定现场的时间工作日≤72小时（因不可抗力因素导致无法执行除外）。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乙方在合同期内提供定期现场维护、保养服务（一年四次）和紧急维修服务。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br w:type="textWrapping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t>6、仪器出现故障，在一周内维修好，未能及时维修则提供备用机保障使用，每年保证仪器95-98%的开机率。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t>乙方维保期间提供一年1次呼吸机医工培训&amp;2次临床科室人员提升培训。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  <w:t>乙方在维保期内可提供系统软件升级服务，免费将现有系统软件升级至最新版本。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报名公司项目联系人、联系电话、电子邮箱、拟报名项目名称、报价单（原件盖章）；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公司营业执照、医疗器械经营许可证；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报价单一份（格式见附件1），盖章；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服务方案一份，盖章。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42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联系人：吕老师；联系电话0771-3376508。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 3 月20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jc w:val="both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jc w:val="both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417"/>
        <w:gridCol w:w="706"/>
        <w:gridCol w:w="775"/>
        <w:gridCol w:w="1275"/>
        <w:gridCol w:w="128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服务商名称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资质名称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8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231F8"/>
    <w:multiLevelType w:val="singleLevel"/>
    <w:tmpl w:val="CE3231F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E386871"/>
    <w:multiLevelType w:val="singleLevel"/>
    <w:tmpl w:val="EE38687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AE7C198"/>
    <w:multiLevelType w:val="singleLevel"/>
    <w:tmpl w:val="0AE7C1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36B6C3E"/>
    <w:multiLevelType w:val="singleLevel"/>
    <w:tmpl w:val="436B6C3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6C81A80"/>
    <w:rsid w:val="08AE55A2"/>
    <w:rsid w:val="093E1E95"/>
    <w:rsid w:val="094B7596"/>
    <w:rsid w:val="0D853313"/>
    <w:rsid w:val="12C63945"/>
    <w:rsid w:val="1C746B04"/>
    <w:rsid w:val="1D1E1BA1"/>
    <w:rsid w:val="1DAD2744"/>
    <w:rsid w:val="1FDE334E"/>
    <w:rsid w:val="238B78BC"/>
    <w:rsid w:val="290B4E0B"/>
    <w:rsid w:val="2BA361EB"/>
    <w:rsid w:val="3193352E"/>
    <w:rsid w:val="33595004"/>
    <w:rsid w:val="3C723457"/>
    <w:rsid w:val="42EB4A00"/>
    <w:rsid w:val="482405CC"/>
    <w:rsid w:val="48D3558F"/>
    <w:rsid w:val="4C4E3D0A"/>
    <w:rsid w:val="523B689B"/>
    <w:rsid w:val="56DE4F67"/>
    <w:rsid w:val="597B75A9"/>
    <w:rsid w:val="5E2B23B2"/>
    <w:rsid w:val="626C6B86"/>
    <w:rsid w:val="69DC5991"/>
    <w:rsid w:val="6E081C25"/>
    <w:rsid w:val="6F0E31AA"/>
    <w:rsid w:val="6F255FBF"/>
    <w:rsid w:val="794F767C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autoRedefine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69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泌脱蓝蹈遮</cp:lastModifiedBy>
  <cp:lastPrinted>2024-03-18T00:16:00Z</cp:lastPrinted>
  <dcterms:modified xsi:type="dcterms:W3CDTF">2024-03-20T07:11:47Z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85E09312CE5744DE99B97240948E09C7_13</vt:lpwstr>
  </property>
</Properties>
</file>