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cs="宋体" w:asciiTheme="majorEastAsia" w:hAnsiTheme="majorEastAsia" w:eastAsiaTheme="majorEastAsia"/>
          <w:b/>
          <w:bCs/>
          <w:kern w:val="36"/>
          <w:sz w:val="37"/>
          <w:szCs w:val="37"/>
        </w:rPr>
      </w:pPr>
      <w:r>
        <w:rPr>
          <w:rFonts w:hint="eastAsia" w:cs="宋体" w:asciiTheme="majorEastAsia" w:hAnsiTheme="majorEastAsia" w:eastAsiaTheme="majorEastAsia"/>
          <w:b/>
          <w:bCs/>
          <w:kern w:val="36"/>
          <w:sz w:val="37"/>
          <w:szCs w:val="37"/>
        </w:rPr>
        <w:t>广西国际壮医医院</w:t>
      </w:r>
      <w:r>
        <w:rPr>
          <w:rFonts w:hint="eastAsia" w:cs="宋体" w:asciiTheme="majorEastAsia" w:hAnsiTheme="majorEastAsia" w:eastAsiaTheme="majorEastAsia"/>
          <w:b/>
          <w:bCs/>
          <w:kern w:val="36"/>
          <w:sz w:val="37"/>
          <w:szCs w:val="37"/>
          <w:lang w:val="en-US" w:eastAsia="zh-CN"/>
        </w:rPr>
        <w:t>瓶装医用气体供应服务项目</w:t>
      </w:r>
      <w:r>
        <w:rPr>
          <w:rFonts w:hint="eastAsia" w:cs="宋体" w:asciiTheme="majorEastAsia" w:hAnsiTheme="majorEastAsia" w:eastAsiaTheme="majorEastAsia"/>
          <w:b/>
          <w:bCs/>
          <w:kern w:val="36"/>
          <w:sz w:val="37"/>
          <w:szCs w:val="37"/>
        </w:rPr>
        <w:t>公开询价公告</w:t>
      </w:r>
    </w:p>
    <w:p>
      <w:pPr>
        <w:pStyle w:val="8"/>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rPr>
        <w:t>根据医院工作需要，我院近期拟采购</w:t>
      </w:r>
      <w:r>
        <w:rPr>
          <w:rFonts w:hint="eastAsia" w:ascii="仿宋" w:hAnsi="仿宋" w:eastAsia="仿宋" w:cs="仿宋"/>
          <w:kern w:val="2"/>
          <w:sz w:val="28"/>
          <w:szCs w:val="28"/>
          <w:lang w:val="en-US" w:eastAsia="zh-CN"/>
        </w:rPr>
        <w:t>瓶装医用气体供应服务</w:t>
      </w:r>
      <w:r>
        <w:rPr>
          <w:rFonts w:hint="eastAsia" w:ascii="仿宋" w:hAnsi="仿宋" w:eastAsia="仿宋" w:cs="仿宋"/>
          <w:kern w:val="2"/>
          <w:sz w:val="28"/>
          <w:szCs w:val="28"/>
        </w:rPr>
        <w:t>，请有意向</w:t>
      </w:r>
      <w:r>
        <w:rPr>
          <w:rFonts w:hint="eastAsia" w:ascii="仿宋" w:hAnsi="仿宋" w:eastAsia="仿宋" w:cs="仿宋"/>
          <w:kern w:val="2"/>
          <w:sz w:val="28"/>
          <w:szCs w:val="28"/>
          <w:lang w:eastAsia="zh-CN"/>
        </w:rPr>
        <w:t>、</w:t>
      </w:r>
      <w:r>
        <w:rPr>
          <w:rFonts w:hint="eastAsia" w:ascii="仿宋" w:hAnsi="仿宋" w:eastAsia="仿宋" w:cs="仿宋"/>
          <w:kern w:val="2"/>
          <w:sz w:val="28"/>
          <w:szCs w:val="28"/>
        </w:rPr>
        <w:t>具有资质的</w:t>
      </w:r>
      <w:r>
        <w:rPr>
          <w:rFonts w:hint="eastAsia" w:ascii="仿宋" w:hAnsi="仿宋" w:eastAsia="仿宋" w:cs="仿宋"/>
          <w:kern w:val="2"/>
          <w:sz w:val="28"/>
          <w:szCs w:val="28"/>
          <w:lang w:val="en-US" w:eastAsia="zh-CN"/>
        </w:rPr>
        <w:t>各供应商</w:t>
      </w:r>
      <w:r>
        <w:rPr>
          <w:rFonts w:hint="eastAsia" w:ascii="仿宋" w:hAnsi="仿宋" w:eastAsia="仿宋" w:cs="仿宋"/>
          <w:kern w:val="2"/>
          <w:sz w:val="28"/>
          <w:szCs w:val="28"/>
        </w:rPr>
        <w:t>前来报名</w:t>
      </w:r>
      <w:r>
        <w:rPr>
          <w:rFonts w:hint="eastAsia" w:ascii="仿宋" w:hAnsi="仿宋" w:eastAsia="仿宋" w:cs="仿宋"/>
          <w:kern w:val="2"/>
          <w:sz w:val="28"/>
          <w:szCs w:val="28"/>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rPr>
      </w:pPr>
      <w:r>
        <w:rPr>
          <w:rFonts w:hint="eastAsia" w:ascii="仿宋" w:hAnsi="仿宋" w:eastAsia="仿宋" w:cs="仿宋"/>
          <w:kern w:val="2"/>
          <w:sz w:val="28"/>
          <w:szCs w:val="28"/>
        </w:rPr>
        <w:t>本公告报名有效期自挂网之日起至202</w:t>
      </w:r>
      <w:r>
        <w:rPr>
          <w:rFonts w:hint="eastAsia" w:ascii="仿宋" w:hAnsi="仿宋" w:eastAsia="仿宋" w:cs="仿宋"/>
          <w:kern w:val="2"/>
          <w:sz w:val="28"/>
          <w:szCs w:val="28"/>
          <w:lang w:val="en-US" w:eastAsia="zh-CN"/>
        </w:rPr>
        <w:t>4</w:t>
      </w:r>
      <w:r>
        <w:rPr>
          <w:rFonts w:hint="eastAsia" w:ascii="仿宋" w:hAnsi="仿宋" w:eastAsia="仿宋" w:cs="仿宋"/>
          <w:kern w:val="2"/>
          <w:sz w:val="28"/>
          <w:szCs w:val="28"/>
        </w:rPr>
        <w:t>年</w:t>
      </w: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月</w:t>
      </w:r>
      <w:r>
        <w:rPr>
          <w:rFonts w:hint="eastAsia" w:ascii="仿宋" w:hAnsi="仿宋" w:eastAsia="仿宋" w:cs="仿宋"/>
          <w:kern w:val="2"/>
          <w:sz w:val="28"/>
          <w:szCs w:val="28"/>
          <w:lang w:val="en-US" w:eastAsia="zh-CN"/>
        </w:rPr>
        <w:t>19</w:t>
      </w:r>
      <w:bookmarkStart w:id="0" w:name="_GoBack"/>
      <w:bookmarkEnd w:id="0"/>
      <w:r>
        <w:rPr>
          <w:rFonts w:hint="eastAsia" w:ascii="仿宋" w:hAnsi="仿宋" w:eastAsia="仿宋" w:cs="仿宋"/>
          <w:kern w:val="2"/>
          <w:sz w:val="28"/>
          <w:szCs w:val="28"/>
        </w:rPr>
        <w:t>日1</w:t>
      </w:r>
      <w:r>
        <w:rPr>
          <w:rFonts w:hint="eastAsia" w:ascii="仿宋" w:hAnsi="仿宋" w:eastAsia="仿宋" w:cs="仿宋"/>
          <w:kern w:val="2"/>
          <w:sz w:val="28"/>
          <w:szCs w:val="28"/>
          <w:lang w:val="en-US" w:eastAsia="zh-CN"/>
        </w:rPr>
        <w:t>7</w:t>
      </w:r>
      <w:r>
        <w:rPr>
          <w:rFonts w:hint="eastAsia" w:ascii="仿宋" w:hAnsi="仿宋" w:eastAsia="仿宋" w:cs="仿宋"/>
          <w:kern w:val="2"/>
          <w:sz w:val="28"/>
          <w:szCs w:val="28"/>
        </w:rPr>
        <w:t>:</w:t>
      </w:r>
      <w:r>
        <w:rPr>
          <w:rFonts w:hint="eastAsia" w:ascii="仿宋" w:hAnsi="仿宋" w:eastAsia="仿宋" w:cs="仿宋"/>
          <w:kern w:val="2"/>
          <w:sz w:val="28"/>
          <w:szCs w:val="28"/>
          <w:lang w:val="en-US" w:eastAsia="zh-CN"/>
        </w:rPr>
        <w:t>3</w:t>
      </w:r>
      <w:r>
        <w:rPr>
          <w:rFonts w:hint="eastAsia" w:ascii="仿宋" w:hAnsi="仿宋" w:eastAsia="仿宋" w:cs="仿宋"/>
          <w:kern w:val="2"/>
          <w:sz w:val="28"/>
          <w:szCs w:val="28"/>
        </w:rPr>
        <w:t>0截止。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rPr>
        <w:t>请各</w:t>
      </w:r>
      <w:r>
        <w:rPr>
          <w:rFonts w:hint="eastAsia" w:ascii="仿宋" w:hAnsi="仿宋" w:eastAsia="仿宋" w:cs="仿宋"/>
          <w:kern w:val="2"/>
          <w:sz w:val="28"/>
          <w:szCs w:val="28"/>
          <w:lang w:val="en-US" w:eastAsia="zh-CN"/>
        </w:rPr>
        <w:t>供应商</w:t>
      </w:r>
      <w:r>
        <w:rPr>
          <w:rFonts w:hint="eastAsia" w:ascii="仿宋" w:hAnsi="仿宋" w:eastAsia="仿宋" w:cs="仿宋"/>
          <w:kern w:val="2"/>
          <w:sz w:val="28"/>
          <w:szCs w:val="28"/>
        </w:rPr>
        <w:t>见本公告后，携带有效证件及产品资料前来我院</w:t>
      </w:r>
      <w:r>
        <w:rPr>
          <w:rFonts w:hint="eastAsia" w:ascii="仿宋" w:hAnsi="仿宋" w:eastAsia="仿宋" w:cs="仿宋"/>
          <w:kern w:val="2"/>
          <w:sz w:val="28"/>
          <w:szCs w:val="28"/>
          <w:lang w:val="en-US" w:eastAsia="zh-CN"/>
        </w:rPr>
        <w:t>报名。</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t>一、服务要求：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rPr>
        <w:t>1、本项目供货商需有瓶装医用气供应相关的资质，应具有的证件为：气瓶充装许可证、食品生产许可证、特种设备检验检测机构核准证（气瓶检测）、危险化学品经营许可证、药品生产许可证（医用氧）、营业执照（经营范围包括医用气体的供应）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2、所使用的气瓶为我院原有，供应商只提供充装、气瓶检测及运输等服务。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3、供应商需在合法合规的气体充装站为我院按充装规范充装气瓶。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4、</w:t>
      </w:r>
      <w:r>
        <w:rPr>
          <w:rFonts w:hint="eastAsia" w:ascii="仿宋" w:hAnsi="仿宋" w:eastAsia="仿宋" w:cs="仿宋"/>
          <w:kern w:val="2"/>
          <w:sz w:val="28"/>
          <w:szCs w:val="28"/>
          <w:lang w:val="en-US" w:eastAsia="zh-CN"/>
        </w:rPr>
        <w:t>供货商</w:t>
      </w:r>
      <w:r>
        <w:rPr>
          <w:rFonts w:hint="eastAsia" w:ascii="仿宋" w:hAnsi="仿宋" w:eastAsia="仿宋" w:cs="仿宋"/>
          <w:sz w:val="28"/>
          <w:szCs w:val="28"/>
          <w:lang w:val="en-US" w:eastAsia="zh-CN"/>
        </w:rPr>
        <w:t>负责将充装好的气瓶送到我院气瓶站房及院内其它指定地方，并且携带送货清单，充好的气瓶上需粘贴合格证和使用注意事项，气瓶送到后双方清点瓶数，我方验收合格后在送货清单上进行签收。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5、</w:t>
      </w:r>
      <w:r>
        <w:rPr>
          <w:rFonts w:hint="eastAsia" w:ascii="仿宋" w:hAnsi="仿宋" w:eastAsia="仿宋" w:cs="仿宋"/>
          <w:sz w:val="28"/>
          <w:szCs w:val="28"/>
          <w:lang w:val="en-US" w:eastAsia="zh-CN"/>
        </w:rPr>
        <w:t>收发气瓶时间为：供应商接到电话联系后24小时内到院气瓶站房及院内其它指点地方收取空瓶，取走空瓶后根据我院气瓶需求情况安排时间充装好送回院内，或需要取用气瓶时，供应商接到电话联系后24小时内将气瓶送回到院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6、若我院气瓶及附属配件在充装过程中发生了损坏，由供应商负责赔偿所有因维修或更换新气瓶产生的费用。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7、</w:t>
      </w:r>
      <w:r>
        <w:rPr>
          <w:rFonts w:hint="eastAsia" w:ascii="仿宋" w:hAnsi="仿宋" w:eastAsia="仿宋" w:cs="仿宋"/>
          <w:sz w:val="28"/>
          <w:szCs w:val="28"/>
          <w:lang w:val="en-US" w:eastAsia="zh-CN"/>
        </w:rPr>
        <w:t>紧急情况下的响应：电话联系后24小时内将空瓶充好及送回到院内，或者提供充装好的合格备用气瓶。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8、</w:t>
      </w:r>
      <w:r>
        <w:rPr>
          <w:rFonts w:hint="eastAsia" w:ascii="仿宋" w:hAnsi="仿宋" w:eastAsia="仿宋" w:cs="仿宋"/>
          <w:sz w:val="28"/>
          <w:szCs w:val="28"/>
          <w:lang w:val="en-US" w:eastAsia="zh-CN"/>
        </w:rPr>
        <w:t>备用气瓶的借用事项：因特殊情况需要借用气瓶时，供应商免费借用气瓶给我院，只收取充装气体的费用，所借气瓶为合格且适用于我院的气瓶。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9、</w:t>
      </w:r>
      <w:r>
        <w:rPr>
          <w:rFonts w:hint="eastAsia" w:ascii="仿宋" w:hAnsi="仿宋" w:eastAsia="仿宋" w:cs="仿宋"/>
          <w:kern w:val="2"/>
          <w:sz w:val="28"/>
          <w:szCs w:val="28"/>
          <w:lang w:val="en-US" w:eastAsia="zh-CN"/>
        </w:rPr>
        <w:t>供货商</w:t>
      </w:r>
      <w:r>
        <w:rPr>
          <w:rFonts w:hint="eastAsia" w:ascii="仿宋" w:hAnsi="仿宋" w:eastAsia="仿宋" w:cs="仿宋"/>
          <w:sz w:val="28"/>
          <w:szCs w:val="28"/>
          <w:lang w:val="en-US" w:eastAsia="zh-CN"/>
        </w:rPr>
        <w:t>负责气瓶保养及气瓶检测，气瓶按《国家特种设备管理条例规定》每三年一检，气瓶检测费用按每次20元/个收取。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10、供应商</w:t>
      </w:r>
      <w:r>
        <w:rPr>
          <w:rFonts w:hint="eastAsia" w:ascii="仿宋" w:hAnsi="仿宋" w:eastAsia="仿宋" w:cs="仿宋"/>
          <w:sz w:val="28"/>
          <w:szCs w:val="28"/>
          <w:lang w:val="en-US" w:eastAsia="zh-CN"/>
        </w:rPr>
        <w:t>应严格保证瓶装医用气体的供应和质量，若所供瓶装医用气体的质量不符合国家标准的要求或没有按时按量供应等，甲方有权单方解除合作关系，并有权要求乙方退还该批气瓶的充装款项，如致使我院遭受影响和损失的，供应商须赔偿我院的全部损失（包括但不限于相关的诉讼费、律师费、差旅费、保全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11、付款方式：每季度对公转账支付，每月底双方共同核对送货清单后,供应商开据发票，我院收到发票后，按季度实际使用量及实际发生的服务支付款项。</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rPr>
        <w:t>二、</w:t>
      </w:r>
      <w:r>
        <w:rPr>
          <w:rFonts w:hint="eastAsia" w:ascii="仿宋" w:hAnsi="仿宋" w:eastAsia="仿宋" w:cs="仿宋"/>
          <w:b/>
          <w:bCs/>
          <w:kern w:val="2"/>
          <w:sz w:val="28"/>
          <w:szCs w:val="28"/>
        </w:rPr>
        <w:t>报名必备证件资料：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default"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（1）报名公司项目联系人、联系电话、电子邮箱、拟报名项目名称、已填报价的附件1：瓶装医用气体供应服务报价表（原件盖章）、具体服务方案文本（至少要满足所提的服务要求）。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（2）气瓶充装许可证、食品生产许可证、特种设备检验检测机构核准证（气瓶检测）、危险化学品经营许可证、危险化学品运输证、药品生产许可证（医用氧）、营业执照（经营范围包括医用气体的供应）</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b/>
          <w:bCs/>
          <w:kern w:val="2"/>
          <w:sz w:val="28"/>
          <w:szCs w:val="28"/>
        </w:rPr>
      </w:pPr>
      <w:r>
        <w:rPr>
          <w:rFonts w:hint="eastAsia" w:ascii="仿宋" w:hAnsi="仿宋" w:eastAsia="仿宋" w:cs="仿宋"/>
          <w:b/>
          <w:bCs/>
          <w:kern w:val="2"/>
          <w:sz w:val="28"/>
          <w:szCs w:val="28"/>
          <w:lang w:val="en-US" w:eastAsia="zh-CN"/>
        </w:rPr>
        <w:t>三、</w:t>
      </w:r>
      <w:r>
        <w:rPr>
          <w:rFonts w:hint="eastAsia" w:ascii="仿宋" w:hAnsi="仿宋" w:eastAsia="仿宋" w:cs="仿宋"/>
          <w:b/>
          <w:bCs/>
          <w:kern w:val="2"/>
          <w:sz w:val="28"/>
          <w:szCs w:val="28"/>
        </w:rPr>
        <w:t>报名</w:t>
      </w:r>
      <w:r>
        <w:rPr>
          <w:rFonts w:hint="eastAsia" w:ascii="仿宋" w:hAnsi="仿宋" w:eastAsia="仿宋" w:cs="仿宋"/>
          <w:b/>
          <w:bCs/>
          <w:kern w:val="2"/>
          <w:sz w:val="28"/>
          <w:szCs w:val="28"/>
          <w:lang w:val="en-US" w:eastAsia="zh-CN"/>
        </w:rPr>
        <w:t>方式</w:t>
      </w:r>
      <w:r>
        <w:rPr>
          <w:rFonts w:hint="eastAsia" w:ascii="仿宋" w:hAnsi="仿宋" w:eastAsia="仿宋" w:cs="仿宋"/>
          <w:b/>
          <w:bCs/>
          <w:kern w:val="2"/>
          <w:sz w:val="28"/>
          <w:szCs w:val="28"/>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eastAsia="zh-CN"/>
        </w:rPr>
        <w:t>（</w:t>
      </w: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lang w:eastAsia="zh-CN"/>
        </w:rPr>
        <w:t>）</w:t>
      </w:r>
      <w:r>
        <w:rPr>
          <w:rFonts w:hint="eastAsia" w:ascii="仿宋" w:hAnsi="仿宋" w:eastAsia="仿宋" w:cs="仿宋"/>
          <w:kern w:val="2"/>
          <w:sz w:val="28"/>
          <w:szCs w:val="28"/>
        </w:rPr>
        <w:t>报名方式：现场报名</w:t>
      </w:r>
      <w:r>
        <w:rPr>
          <w:rFonts w:hint="eastAsia" w:ascii="仿宋" w:hAnsi="仿宋" w:eastAsia="仿宋" w:cs="仿宋"/>
          <w:kern w:val="2"/>
          <w:sz w:val="28"/>
          <w:szCs w:val="28"/>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lang w:eastAsia="zh-CN"/>
        </w:rPr>
      </w:pPr>
      <w:r>
        <w:rPr>
          <w:rFonts w:hint="eastAsia" w:ascii="仿宋" w:hAnsi="仿宋" w:eastAsia="仿宋" w:cs="仿宋"/>
          <w:kern w:val="2"/>
          <w:sz w:val="28"/>
          <w:szCs w:val="28"/>
          <w:lang w:eastAsia="zh-CN"/>
        </w:rPr>
        <w:t>（</w:t>
      </w:r>
      <w:r>
        <w:rPr>
          <w:rFonts w:hint="eastAsia" w:ascii="仿宋" w:hAnsi="仿宋" w:eastAsia="仿宋" w:cs="仿宋"/>
          <w:kern w:val="2"/>
          <w:sz w:val="28"/>
          <w:szCs w:val="28"/>
          <w:lang w:val="en-US" w:eastAsia="zh-CN"/>
        </w:rPr>
        <w:t>2</w:t>
      </w:r>
      <w:r>
        <w:rPr>
          <w:rFonts w:hint="eastAsia" w:ascii="仿宋" w:hAnsi="仿宋" w:eastAsia="仿宋" w:cs="仿宋"/>
          <w:kern w:val="2"/>
          <w:sz w:val="28"/>
          <w:szCs w:val="28"/>
          <w:lang w:eastAsia="zh-CN"/>
        </w:rPr>
        <w:t>）</w:t>
      </w:r>
      <w:r>
        <w:rPr>
          <w:rFonts w:hint="eastAsia" w:ascii="仿宋" w:hAnsi="仿宋" w:eastAsia="仿宋" w:cs="仿宋"/>
          <w:kern w:val="2"/>
          <w:sz w:val="28"/>
          <w:szCs w:val="28"/>
        </w:rPr>
        <w:t>材料要求：请按报名</w:t>
      </w:r>
      <w:r>
        <w:rPr>
          <w:rFonts w:hint="eastAsia" w:ascii="仿宋" w:hAnsi="仿宋" w:eastAsia="仿宋" w:cs="仿宋"/>
          <w:kern w:val="2"/>
          <w:sz w:val="28"/>
          <w:szCs w:val="28"/>
          <w:lang w:val="en-US" w:eastAsia="zh-CN"/>
        </w:rPr>
        <w:t>必备资料</w:t>
      </w:r>
      <w:r>
        <w:rPr>
          <w:rFonts w:hint="eastAsia" w:ascii="仿宋" w:hAnsi="仿宋" w:eastAsia="仿宋" w:cs="仿宋"/>
          <w:kern w:val="2"/>
          <w:sz w:val="28"/>
          <w:szCs w:val="28"/>
        </w:rPr>
        <w:t>逐一整理纸质版材料，纸质版及产品介绍彩页一式</w:t>
      </w:r>
      <w:r>
        <w:rPr>
          <w:rFonts w:hint="eastAsia" w:ascii="仿宋" w:hAnsi="仿宋" w:eastAsia="仿宋" w:cs="仿宋"/>
          <w:kern w:val="2"/>
          <w:sz w:val="28"/>
          <w:szCs w:val="28"/>
          <w:lang w:val="en-US" w:eastAsia="zh-CN"/>
        </w:rPr>
        <w:t>二份</w:t>
      </w:r>
      <w:r>
        <w:rPr>
          <w:rFonts w:hint="eastAsia" w:ascii="仿宋" w:hAnsi="仿宋" w:eastAsia="仿宋" w:cs="仿宋"/>
          <w:kern w:val="2"/>
          <w:sz w:val="28"/>
          <w:szCs w:val="28"/>
        </w:rPr>
        <w:t>，密封后现场递交</w:t>
      </w:r>
      <w:r>
        <w:rPr>
          <w:rFonts w:hint="eastAsia" w:ascii="仿宋" w:hAnsi="仿宋" w:eastAsia="仿宋" w:cs="仿宋"/>
          <w:kern w:val="2"/>
          <w:sz w:val="28"/>
          <w:szCs w:val="28"/>
          <w:lang w:eastAsia="zh-CN"/>
        </w:rPr>
        <w:t>；</w:t>
      </w:r>
      <w:r>
        <w:rPr>
          <w:rFonts w:hint="eastAsia" w:ascii="仿宋" w:hAnsi="仿宋" w:eastAsia="仿宋" w:cs="仿宋"/>
          <w:kern w:val="2"/>
          <w:sz w:val="28"/>
          <w:szCs w:val="28"/>
        </w:rPr>
        <w:t>电子版一份（</w:t>
      </w:r>
      <w:r>
        <w:rPr>
          <w:rFonts w:hint="eastAsia" w:ascii="仿宋" w:hAnsi="仿宋" w:eastAsia="仿宋" w:cs="仿宋"/>
          <w:kern w:val="2"/>
          <w:sz w:val="28"/>
          <w:szCs w:val="28"/>
          <w:lang w:val="en-US" w:eastAsia="zh-CN"/>
        </w:rPr>
        <w:t>发送至邮箱gzyxzbb2018@163.com</w:t>
      </w:r>
      <w:r>
        <w:rPr>
          <w:rFonts w:hint="eastAsia" w:ascii="仿宋" w:hAnsi="仿宋" w:eastAsia="仿宋" w:cs="仿宋"/>
          <w:kern w:val="2"/>
          <w:sz w:val="28"/>
          <w:szCs w:val="28"/>
        </w:rPr>
        <w:t>）</w:t>
      </w:r>
      <w:r>
        <w:rPr>
          <w:rFonts w:hint="eastAsia" w:ascii="仿宋" w:hAnsi="仿宋" w:eastAsia="仿宋" w:cs="仿宋"/>
          <w:kern w:val="2"/>
          <w:sz w:val="28"/>
          <w:szCs w:val="28"/>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（3）报名地址：</w:t>
      </w:r>
      <w:r>
        <w:rPr>
          <w:rFonts w:hint="eastAsia" w:ascii="仿宋" w:hAnsi="仿宋" w:eastAsia="仿宋" w:cs="仿宋"/>
          <w:kern w:val="2"/>
          <w:sz w:val="28"/>
          <w:szCs w:val="28"/>
        </w:rPr>
        <w:t>南宁市良庆区秋月路8号广西国际壮医医院</w:t>
      </w:r>
      <w:r>
        <w:rPr>
          <w:rFonts w:hint="eastAsia" w:ascii="仿宋" w:hAnsi="仿宋" w:eastAsia="仿宋" w:cs="仿宋"/>
          <w:kern w:val="2"/>
          <w:sz w:val="28"/>
          <w:szCs w:val="28"/>
          <w:lang w:val="en-US" w:eastAsia="zh-CN"/>
        </w:rPr>
        <w:t>面对门诊大门左侧（急诊科方向）医学装备部；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（4）联系人：吕老师；联系电话0771-3376508。</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color w:val="555555"/>
          <w:sz w:val="28"/>
          <w:szCs w:val="28"/>
        </w:rPr>
      </w:pPr>
    </w:p>
    <w:p>
      <w:pPr>
        <w:widowControl/>
        <w:shd w:val="clear" w:color="auto" w:fill="FFFFFF"/>
        <w:ind w:firstLine="560" w:firstLineChars="200"/>
        <w:jc w:val="left"/>
        <w:outlineLvl w:val="0"/>
        <w:rPr>
          <w:rFonts w:hint="eastAsia" w:ascii="仿宋" w:hAnsi="仿宋" w:eastAsia="仿宋" w:cs="仿宋"/>
          <w:kern w:val="2"/>
          <w:sz w:val="28"/>
          <w:szCs w:val="28"/>
        </w:rPr>
      </w:pPr>
      <w:r>
        <w:rPr>
          <w:rFonts w:hint="eastAsia" w:ascii="仿宋" w:hAnsi="仿宋" w:eastAsia="仿宋" w:cs="仿宋"/>
          <w:kern w:val="2"/>
          <w:sz w:val="28"/>
          <w:szCs w:val="28"/>
        </w:rPr>
        <w:t>附件</w:t>
      </w: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rPr>
        <w:t>：</w:t>
      </w:r>
      <w:r>
        <w:rPr>
          <w:rFonts w:hint="eastAsia" w:ascii="仿宋" w:hAnsi="仿宋" w:eastAsia="仿宋" w:cs="仿宋"/>
          <w:kern w:val="2"/>
          <w:sz w:val="28"/>
          <w:szCs w:val="28"/>
          <w:lang w:val="en-US" w:eastAsia="zh-CN"/>
        </w:rPr>
        <w:t>瓶装医用气体供应服务</w:t>
      </w:r>
      <w:r>
        <w:rPr>
          <w:rFonts w:hint="eastAsia" w:ascii="仿宋" w:hAnsi="仿宋" w:eastAsia="仿宋" w:cs="仿宋"/>
          <w:kern w:val="2"/>
          <w:sz w:val="28"/>
          <w:szCs w:val="28"/>
        </w:rPr>
        <w:t>报价表</w:t>
      </w:r>
    </w:p>
    <w:p>
      <w:pPr>
        <w:widowControl/>
        <w:shd w:val="clear" w:color="auto" w:fill="FFFFFF"/>
        <w:ind w:firstLine="560" w:firstLineChars="200"/>
        <w:jc w:val="left"/>
        <w:outlineLvl w:val="0"/>
        <w:rPr>
          <w:rFonts w:hint="eastAsia" w:ascii="仿宋" w:hAnsi="仿宋" w:eastAsia="仿宋" w:cs="仿宋"/>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eastAsia" w:ascii="仿宋" w:hAnsi="仿宋" w:eastAsia="仿宋" w:cs="仿宋"/>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eastAsia" w:ascii="仿宋" w:hAnsi="仿宋" w:eastAsia="仿宋" w:cs="仿宋"/>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400" w:firstLineChars="500"/>
        <w:textAlignment w:val="auto"/>
        <w:rPr>
          <w:rFonts w:hint="eastAsia" w:ascii="仿宋" w:hAnsi="仿宋" w:eastAsia="仿宋" w:cs="仿宋"/>
          <w:kern w:val="2"/>
          <w:sz w:val="28"/>
          <w:szCs w:val="28"/>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040" w:firstLineChars="1800"/>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广西国际壮医医院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480"/>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 xml:space="preserve">                                 2024年3月8日</w:t>
      </w:r>
    </w:p>
    <w:p>
      <w:pPr>
        <w:pStyle w:val="7"/>
        <w:widowControl/>
        <w:shd w:val="clear" w:color="auto" w:fill="FFFFFF"/>
        <w:spacing w:before="0" w:beforeAutospacing="0" w:after="90" w:afterAutospacing="0" w:line="18" w:lineRule="atLeast"/>
        <w:rPr>
          <w:rFonts w:hint="eastAsia" w:ascii="仿宋" w:hAnsi="仿宋" w:eastAsia="仿宋" w:cs="仿宋"/>
          <w:b/>
          <w:bCs/>
          <w:sz w:val="28"/>
          <w:szCs w:val="28"/>
        </w:rPr>
      </w:pPr>
    </w:p>
    <w:p>
      <w:pPr>
        <w:pStyle w:val="7"/>
        <w:widowControl/>
        <w:shd w:val="clear" w:color="auto" w:fill="FFFFFF"/>
        <w:spacing w:before="0" w:beforeAutospacing="0" w:after="90" w:afterAutospacing="0" w:line="18" w:lineRule="atLeast"/>
        <w:rPr>
          <w:rFonts w:hint="eastAsia" w:ascii="仿宋" w:hAnsi="仿宋" w:eastAsia="仿宋" w:cs="仿宋"/>
          <w:b/>
          <w:bCs/>
          <w:sz w:val="28"/>
          <w:szCs w:val="28"/>
        </w:rPr>
      </w:pPr>
    </w:p>
    <w:p>
      <w:pPr>
        <w:pStyle w:val="7"/>
        <w:widowControl/>
        <w:shd w:val="clear" w:color="auto" w:fill="FFFFFF"/>
        <w:spacing w:before="0" w:beforeAutospacing="0" w:after="90" w:afterAutospacing="0" w:line="18" w:lineRule="atLeast"/>
        <w:rPr>
          <w:rFonts w:hint="eastAsia" w:ascii="仿宋" w:hAnsi="仿宋" w:eastAsia="仿宋" w:cs="仿宋"/>
          <w:b/>
          <w:bCs/>
          <w:sz w:val="28"/>
          <w:szCs w:val="28"/>
        </w:rPr>
      </w:pPr>
    </w:p>
    <w:p>
      <w:pPr>
        <w:pStyle w:val="7"/>
        <w:widowControl/>
        <w:shd w:val="clear" w:color="auto" w:fill="FFFFFF"/>
        <w:spacing w:before="0" w:beforeAutospacing="0" w:after="90" w:afterAutospacing="0" w:line="18" w:lineRule="atLeast"/>
        <w:rPr>
          <w:rFonts w:hint="eastAsia" w:ascii="仿宋" w:hAnsi="仿宋" w:eastAsia="仿宋" w:cs="仿宋"/>
          <w:b/>
          <w:bCs/>
          <w:sz w:val="28"/>
          <w:szCs w:val="28"/>
        </w:rPr>
      </w:pPr>
    </w:p>
    <w:p>
      <w:pPr>
        <w:pStyle w:val="7"/>
        <w:widowControl/>
        <w:shd w:val="clear" w:color="auto" w:fill="FFFFFF"/>
        <w:spacing w:before="0" w:beforeAutospacing="0" w:after="90" w:afterAutospacing="0" w:line="18" w:lineRule="atLeast"/>
        <w:rPr>
          <w:rFonts w:hint="eastAsia" w:ascii="仿宋" w:hAnsi="仿宋" w:eastAsia="仿宋" w:cs="仿宋"/>
          <w:b/>
          <w:bCs/>
          <w:sz w:val="28"/>
          <w:szCs w:val="28"/>
        </w:rPr>
      </w:pPr>
    </w:p>
    <w:p>
      <w:pPr>
        <w:pStyle w:val="7"/>
        <w:widowControl/>
        <w:shd w:val="clear" w:color="auto" w:fill="FFFFFF"/>
        <w:spacing w:before="0" w:beforeAutospacing="0" w:after="90" w:afterAutospacing="0" w:line="18" w:lineRule="atLeast"/>
        <w:rPr>
          <w:rFonts w:hint="eastAsia" w:ascii="仿宋" w:hAnsi="仿宋" w:eastAsia="仿宋" w:cs="仿宋"/>
          <w:b/>
          <w:bCs/>
          <w:color w:val="000000"/>
          <w:sz w:val="28"/>
          <w:szCs w:val="28"/>
        </w:rPr>
      </w:pPr>
      <w:r>
        <w:rPr>
          <w:rFonts w:hint="eastAsia" w:ascii="仿宋" w:hAnsi="仿宋" w:eastAsia="仿宋" w:cs="仿宋"/>
          <w:b/>
          <w:bCs/>
          <w:sz w:val="28"/>
          <w:szCs w:val="28"/>
        </w:rPr>
        <w:t>附件1</w:t>
      </w:r>
    </w:p>
    <w:p>
      <w:pPr>
        <w:pStyle w:val="4"/>
        <w:spacing w:before="240"/>
        <w:ind w:left="5"/>
        <w:jc w:val="center"/>
        <w:rPr>
          <w:rFonts w:hint="eastAsia" w:ascii="仿宋" w:hAnsi="仿宋" w:eastAsia="仿宋" w:cs="仿宋"/>
          <w:b/>
          <w:bCs w:val="0"/>
          <w:color w:val="000000"/>
          <w:sz w:val="28"/>
          <w:szCs w:val="28"/>
        </w:rPr>
      </w:pPr>
      <w:r>
        <w:rPr>
          <w:rFonts w:hint="eastAsia" w:ascii="仿宋" w:hAnsi="仿宋" w:eastAsia="仿宋" w:cs="仿宋"/>
          <w:b/>
          <w:bCs w:val="0"/>
          <w:kern w:val="2"/>
          <w:sz w:val="32"/>
          <w:szCs w:val="32"/>
          <w:lang w:val="en-US" w:eastAsia="zh-CN"/>
        </w:rPr>
        <w:t>瓶装医用气体供应服务</w:t>
      </w:r>
      <w:r>
        <w:rPr>
          <w:rFonts w:hint="eastAsia" w:ascii="仿宋" w:hAnsi="仿宋" w:eastAsia="仿宋" w:cs="仿宋"/>
          <w:b/>
          <w:bCs w:val="0"/>
          <w:color w:val="000000"/>
          <w:sz w:val="32"/>
          <w:szCs w:val="32"/>
        </w:rPr>
        <w:t>报价表</w:t>
      </w:r>
    </w:p>
    <w:tbl>
      <w:tblPr>
        <w:tblStyle w:val="9"/>
        <w:tblpPr w:leftFromText="180" w:rightFromText="180" w:vertAnchor="text" w:horzAnchor="page" w:tblpXSpec="center" w:tblpY="697"/>
        <w:tblOverlap w:val="never"/>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175"/>
        <w:gridCol w:w="2878"/>
        <w:gridCol w:w="1208"/>
        <w:gridCol w:w="1006"/>
        <w:gridCol w:w="90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6" w:type="dxa"/>
            <w:noWrap/>
            <w:vAlign w:val="center"/>
          </w:tcPr>
          <w:p>
            <w:pPr>
              <w:widowControl/>
              <w:spacing w:before="90" w:after="9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2175" w:type="dxa"/>
            <w:noWrap/>
            <w:vAlign w:val="center"/>
          </w:tcPr>
          <w:p>
            <w:pPr>
              <w:widowControl/>
              <w:spacing w:before="90" w:after="90"/>
              <w:jc w:val="center"/>
              <w:rPr>
                <w:rFonts w:hint="eastAsia" w:ascii="仿宋" w:hAnsi="仿宋" w:eastAsia="仿宋" w:cs="仿宋"/>
                <w:b/>
                <w:sz w:val="24"/>
                <w:szCs w:val="24"/>
              </w:rPr>
            </w:pPr>
            <w:r>
              <w:rPr>
                <w:rFonts w:hint="eastAsia" w:ascii="仿宋" w:hAnsi="仿宋" w:eastAsia="仿宋" w:cs="仿宋"/>
                <w:b/>
                <w:sz w:val="24"/>
                <w:szCs w:val="24"/>
              </w:rPr>
              <w:t>产品名称</w:t>
            </w:r>
          </w:p>
        </w:tc>
        <w:tc>
          <w:tcPr>
            <w:tcW w:w="2878"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参数浓度</w:t>
            </w:r>
          </w:p>
        </w:tc>
        <w:tc>
          <w:tcPr>
            <w:tcW w:w="1208"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规格</w:t>
            </w:r>
          </w:p>
        </w:tc>
        <w:tc>
          <w:tcPr>
            <w:tcW w:w="1006"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单位</w:t>
            </w:r>
          </w:p>
        </w:tc>
        <w:tc>
          <w:tcPr>
            <w:tcW w:w="900"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单价（元）</w:t>
            </w:r>
          </w:p>
        </w:tc>
        <w:tc>
          <w:tcPr>
            <w:tcW w:w="1054" w:type="dxa"/>
            <w:noWrap/>
            <w:vAlign w:val="center"/>
          </w:tcPr>
          <w:p>
            <w:pPr>
              <w:spacing w:before="90" w:after="9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6" w:type="dxa"/>
            <w:noWrap/>
            <w:vAlign w:val="center"/>
          </w:tcPr>
          <w:p>
            <w:pPr>
              <w:widowControl/>
              <w:spacing w:before="90" w:after="9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2175" w:type="dxa"/>
            <w:noWrap/>
            <w:vAlign w:val="center"/>
          </w:tcPr>
          <w:p>
            <w:pPr>
              <w:tabs>
                <w:tab w:val="center" w:pos="872"/>
                <w:tab w:val="right" w:pos="1625"/>
              </w:tabs>
              <w:jc w:val="center"/>
              <w:rPr>
                <w:rFonts w:hint="eastAsia" w:ascii="仿宋" w:hAnsi="仿宋" w:eastAsia="仿宋" w:cs="仿宋"/>
                <w:b/>
                <w:sz w:val="24"/>
                <w:szCs w:val="24"/>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b/>
                <w:sz w:val="24"/>
                <w:szCs w:val="24"/>
                <w:lang w:eastAsia="zh-CN"/>
              </w:rPr>
            </w:pPr>
            <w:r>
              <w:rPr>
                <w:rFonts w:hint="eastAsia" w:ascii="仿宋" w:hAnsi="仿宋" w:eastAsia="仿宋" w:cs="仿宋"/>
                <w:sz w:val="24"/>
                <w:szCs w:val="24"/>
                <w:lang w:eastAsia="zh-CN"/>
              </w:rPr>
              <w:t>按《中国药典》2020版第二部医用氧标准；≥99.5%</w:t>
            </w:r>
          </w:p>
        </w:tc>
        <w:tc>
          <w:tcPr>
            <w:tcW w:w="1208"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sz w:val="24"/>
                <w:szCs w:val="24"/>
                <w:lang w:val="en-US" w:eastAsia="zh-CN"/>
              </w:rPr>
              <w:t>40</w:t>
            </w:r>
            <w:r>
              <w:rPr>
                <w:rFonts w:hint="eastAsia" w:ascii="仿宋" w:hAnsi="仿宋" w:eastAsia="仿宋" w:cs="仿宋"/>
                <w:sz w:val="24"/>
                <w:szCs w:val="24"/>
                <w:lang w:eastAsia="zh-CN"/>
              </w:rPr>
              <w:t>L/瓶</w:t>
            </w:r>
          </w:p>
        </w:tc>
        <w:tc>
          <w:tcPr>
            <w:tcW w:w="1006"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sz w:val="24"/>
                <w:szCs w:val="24"/>
                <w:lang w:eastAsia="zh-CN"/>
              </w:rPr>
              <w:t>瓶</w:t>
            </w:r>
          </w:p>
        </w:tc>
        <w:tc>
          <w:tcPr>
            <w:tcW w:w="900" w:type="dxa"/>
            <w:noWrap/>
            <w:vAlign w:val="center"/>
          </w:tcPr>
          <w:p>
            <w:pPr>
              <w:widowControl/>
              <w:spacing w:before="90" w:after="90"/>
              <w:jc w:val="center"/>
              <w:rPr>
                <w:rFonts w:hint="eastAsia" w:ascii="仿宋" w:hAnsi="仿宋" w:eastAsia="仿宋" w:cs="仿宋"/>
                <w:b/>
                <w:sz w:val="24"/>
                <w:szCs w:val="24"/>
                <w:lang w:eastAsia="zh-CN"/>
              </w:rPr>
            </w:pPr>
          </w:p>
        </w:tc>
        <w:tc>
          <w:tcPr>
            <w:tcW w:w="1054" w:type="dxa"/>
            <w:noWrap/>
            <w:vAlign w:val="center"/>
          </w:tcPr>
          <w:p>
            <w:pPr>
              <w:spacing w:before="90" w:after="90"/>
              <w:jc w:val="center"/>
              <w:rPr>
                <w:rFonts w:hint="eastAsia" w:ascii="仿宋" w:hAnsi="仿宋" w:eastAsia="仿宋" w:cs="仿宋"/>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16" w:type="dxa"/>
            <w:noWrap/>
            <w:vAlign w:val="center"/>
          </w:tcPr>
          <w:p>
            <w:pPr>
              <w:widowControl/>
              <w:spacing w:before="90" w:after="90"/>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2175" w:type="dxa"/>
            <w:noWrap/>
            <w:vAlign w:val="center"/>
          </w:tcPr>
          <w:p>
            <w:pPr>
              <w:tabs>
                <w:tab w:val="center" w:pos="872"/>
                <w:tab w:val="right" w:pos="1625"/>
              </w:tabs>
              <w:jc w:val="center"/>
              <w:rPr>
                <w:rFonts w:hint="eastAsia" w:ascii="仿宋" w:hAnsi="仿宋" w:eastAsia="仿宋" w:cs="仿宋"/>
                <w:b/>
                <w:sz w:val="24"/>
                <w:szCs w:val="24"/>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b/>
                <w:sz w:val="24"/>
                <w:szCs w:val="24"/>
                <w:lang w:eastAsia="zh-CN"/>
              </w:rPr>
            </w:pPr>
            <w:r>
              <w:rPr>
                <w:rFonts w:hint="eastAsia" w:ascii="仿宋" w:hAnsi="仿宋" w:eastAsia="仿宋" w:cs="仿宋"/>
                <w:sz w:val="24"/>
                <w:szCs w:val="24"/>
                <w:lang w:eastAsia="zh-CN"/>
              </w:rPr>
              <w:t>按《中国药典》2020版第二部医用氧标准；≥99.5%</w:t>
            </w:r>
          </w:p>
        </w:tc>
        <w:tc>
          <w:tcPr>
            <w:tcW w:w="1208"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L/瓶</w:t>
            </w:r>
          </w:p>
        </w:tc>
        <w:tc>
          <w:tcPr>
            <w:tcW w:w="1006" w:type="dxa"/>
            <w:noWrap/>
            <w:vAlign w:val="center"/>
          </w:tcPr>
          <w:p>
            <w:pPr>
              <w:widowControl/>
              <w:spacing w:before="90" w:after="90"/>
              <w:jc w:val="center"/>
              <w:rPr>
                <w:rFonts w:hint="eastAsia" w:ascii="仿宋" w:hAnsi="仿宋" w:eastAsia="仿宋" w:cs="仿宋"/>
                <w:b/>
                <w:sz w:val="24"/>
                <w:szCs w:val="24"/>
                <w:lang w:eastAsia="zh-CN"/>
              </w:rPr>
            </w:pPr>
            <w:r>
              <w:rPr>
                <w:rFonts w:hint="eastAsia" w:ascii="仿宋" w:hAnsi="仿宋" w:eastAsia="仿宋" w:cs="仿宋"/>
                <w:sz w:val="24"/>
                <w:szCs w:val="24"/>
                <w:lang w:eastAsia="zh-CN"/>
              </w:rPr>
              <w:t>瓶</w:t>
            </w:r>
          </w:p>
        </w:tc>
        <w:tc>
          <w:tcPr>
            <w:tcW w:w="900" w:type="dxa"/>
            <w:noWrap/>
            <w:vAlign w:val="center"/>
          </w:tcPr>
          <w:p>
            <w:pPr>
              <w:widowControl/>
              <w:spacing w:before="90" w:after="90"/>
              <w:jc w:val="center"/>
              <w:rPr>
                <w:rFonts w:hint="eastAsia" w:ascii="仿宋" w:hAnsi="仿宋" w:eastAsia="仿宋" w:cs="仿宋"/>
                <w:b/>
                <w:sz w:val="24"/>
                <w:szCs w:val="24"/>
                <w:lang w:val="en-US" w:eastAsia="zh-CN"/>
              </w:rPr>
            </w:pPr>
          </w:p>
        </w:tc>
        <w:tc>
          <w:tcPr>
            <w:tcW w:w="1054" w:type="dxa"/>
            <w:noWrap/>
            <w:vAlign w:val="center"/>
          </w:tcPr>
          <w:p>
            <w:pPr>
              <w:spacing w:before="90" w:after="90"/>
              <w:jc w:val="center"/>
              <w:rPr>
                <w:rFonts w:hint="eastAsia" w:ascii="仿宋" w:hAnsi="仿宋" w:eastAsia="仿宋" w:cs="仿宋"/>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kern w:val="2"/>
                <w:sz w:val="24"/>
                <w:szCs w:val="24"/>
                <w:lang w:val="en-US" w:eastAsia="zh-CN" w:bidi="ar-SA"/>
              </w:rPr>
              <w:t>3</w:t>
            </w:r>
          </w:p>
        </w:tc>
        <w:tc>
          <w:tcPr>
            <w:tcW w:w="2175"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按《中国药典》2020版第二部医用氧标准；≥99.5%</w:t>
            </w:r>
          </w:p>
        </w:tc>
        <w:tc>
          <w:tcPr>
            <w:tcW w:w="1208" w:type="dxa"/>
            <w:noWrap/>
            <w:vAlign w:val="center"/>
          </w:tcPr>
          <w:p>
            <w:pPr>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L/瓶</w:t>
            </w:r>
          </w:p>
        </w:tc>
        <w:tc>
          <w:tcPr>
            <w:tcW w:w="1006" w:type="dxa"/>
            <w:noWrap/>
            <w:vAlign w:val="center"/>
          </w:tcPr>
          <w:p>
            <w:pPr>
              <w:spacing w:before="90" w:after="90"/>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w:t>
            </w:r>
          </w:p>
        </w:tc>
        <w:tc>
          <w:tcPr>
            <w:tcW w:w="2175"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按《中国药典》2020版第二部医用氧标准；≥99.5%</w:t>
            </w:r>
          </w:p>
        </w:tc>
        <w:tc>
          <w:tcPr>
            <w:tcW w:w="1208" w:type="dxa"/>
            <w:noWrap/>
            <w:vAlign w:val="center"/>
          </w:tcPr>
          <w:p>
            <w:pPr>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L/瓶</w:t>
            </w:r>
          </w:p>
        </w:tc>
        <w:tc>
          <w:tcPr>
            <w:tcW w:w="1006" w:type="dxa"/>
            <w:noWrap/>
            <w:vAlign w:val="center"/>
          </w:tcPr>
          <w:p>
            <w:pPr>
              <w:spacing w:before="90" w:after="90"/>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2175" w:type="dxa"/>
            <w:noWrap/>
            <w:vAlign w:val="center"/>
          </w:tcPr>
          <w:p>
            <w:pPr>
              <w:tabs>
                <w:tab w:val="center" w:pos="872"/>
                <w:tab w:val="right" w:pos="1625"/>
              </w:tabs>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按《中国药典》2020版第二部医用氧标准；≥99.5%</w:t>
            </w:r>
          </w:p>
        </w:tc>
        <w:tc>
          <w:tcPr>
            <w:tcW w:w="1208" w:type="dxa"/>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L/瓶</w:t>
            </w:r>
          </w:p>
        </w:tc>
        <w:tc>
          <w:tcPr>
            <w:tcW w:w="1006" w:type="dxa"/>
            <w:noWrap/>
            <w:vAlign w:val="center"/>
          </w:tcPr>
          <w:p>
            <w:pPr>
              <w:spacing w:before="90" w:after="9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2175" w:type="dxa"/>
            <w:noWrap/>
            <w:vAlign w:val="center"/>
          </w:tcPr>
          <w:p>
            <w:pPr>
              <w:tabs>
                <w:tab w:val="center" w:pos="872"/>
                <w:tab w:val="right" w:pos="1625"/>
              </w:tabs>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lang w:eastAsia="zh-CN"/>
              </w:rPr>
              <w:t>按《中国药典》2020版第二部医用氧标准；≥99.5%</w:t>
            </w:r>
          </w:p>
        </w:tc>
        <w:tc>
          <w:tcPr>
            <w:tcW w:w="1208" w:type="dxa"/>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L/瓶</w:t>
            </w:r>
          </w:p>
        </w:tc>
        <w:tc>
          <w:tcPr>
            <w:tcW w:w="1006" w:type="dxa"/>
            <w:noWrap/>
            <w:vAlign w:val="center"/>
          </w:tcPr>
          <w:p>
            <w:pPr>
              <w:spacing w:before="90" w:after="9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w:t>
            </w:r>
          </w:p>
        </w:tc>
        <w:tc>
          <w:tcPr>
            <w:tcW w:w="2175" w:type="dxa"/>
            <w:noWrap/>
            <w:vAlign w:val="center"/>
          </w:tcPr>
          <w:p>
            <w:pPr>
              <w:tabs>
                <w:tab w:val="center" w:pos="872"/>
                <w:tab w:val="right" w:pos="1625"/>
              </w:tabs>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lang w:eastAsia="zh-CN"/>
              </w:rPr>
              <w:t>医用氧</w:t>
            </w:r>
          </w:p>
        </w:tc>
        <w:tc>
          <w:tcPr>
            <w:tcW w:w="2878" w:type="dxa"/>
            <w:noWrap/>
            <w:vAlign w:val="center"/>
          </w:tcPr>
          <w:p>
            <w:pPr>
              <w:tabs>
                <w:tab w:val="center" w:pos="872"/>
                <w:tab w:val="right" w:pos="1625"/>
              </w:tabs>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lang w:eastAsia="zh-CN"/>
              </w:rPr>
              <w:t>按《中国药典》2020版第二部医用氧标准；≥99.5%</w:t>
            </w:r>
          </w:p>
        </w:tc>
        <w:tc>
          <w:tcPr>
            <w:tcW w:w="1208" w:type="dxa"/>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L/瓶</w:t>
            </w:r>
          </w:p>
        </w:tc>
        <w:tc>
          <w:tcPr>
            <w:tcW w:w="1006" w:type="dxa"/>
            <w:noWrap/>
            <w:vAlign w:val="center"/>
          </w:tcPr>
          <w:p>
            <w:pPr>
              <w:spacing w:before="90" w:after="9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w:t>
            </w:r>
          </w:p>
        </w:tc>
        <w:tc>
          <w:tcPr>
            <w:tcW w:w="2175" w:type="dxa"/>
            <w:noWrap/>
            <w:vAlign w:val="center"/>
          </w:tcPr>
          <w:p>
            <w:pPr>
              <w:tabs>
                <w:tab w:val="center" w:pos="872"/>
                <w:tab w:val="right" w:pos="1625"/>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氮气</w:t>
            </w:r>
          </w:p>
        </w:tc>
        <w:tc>
          <w:tcPr>
            <w:tcW w:w="2878" w:type="dxa"/>
            <w:noWrap/>
            <w:vAlign w:val="center"/>
          </w:tcPr>
          <w:p>
            <w:pPr>
              <w:tabs>
                <w:tab w:val="center" w:pos="872"/>
                <w:tab w:val="right" w:pos="1625"/>
              </w:tabs>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≥99.</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p>
        </w:tc>
        <w:tc>
          <w:tcPr>
            <w:tcW w:w="1208" w:type="dxa"/>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40L/瓶</w:t>
            </w:r>
          </w:p>
        </w:tc>
        <w:tc>
          <w:tcPr>
            <w:tcW w:w="1006" w:type="dxa"/>
            <w:noWrap/>
            <w:vAlign w:val="center"/>
          </w:tcPr>
          <w:p>
            <w:pPr>
              <w:spacing w:before="90" w:after="9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w:t>
            </w:r>
          </w:p>
        </w:tc>
        <w:tc>
          <w:tcPr>
            <w:tcW w:w="2175" w:type="dxa"/>
            <w:noWrap/>
            <w:vAlign w:val="center"/>
          </w:tcPr>
          <w:p>
            <w:pPr>
              <w:tabs>
                <w:tab w:val="center" w:pos="872"/>
                <w:tab w:val="right" w:pos="1625"/>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液氮</w:t>
            </w:r>
          </w:p>
        </w:tc>
        <w:tc>
          <w:tcPr>
            <w:tcW w:w="2878" w:type="dxa"/>
            <w:noWrap/>
            <w:vAlign w:val="center"/>
          </w:tcPr>
          <w:p>
            <w:pPr>
              <w:tabs>
                <w:tab w:val="center" w:pos="872"/>
                <w:tab w:val="right" w:pos="1625"/>
              </w:tabs>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≥99.</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p>
        </w:tc>
        <w:tc>
          <w:tcPr>
            <w:tcW w:w="1208" w:type="dxa"/>
            <w:noWrap/>
            <w:vAlign w:val="center"/>
          </w:tcPr>
          <w:p>
            <w:pPr>
              <w:jc w:val="center"/>
              <w:rPr>
                <w:rFonts w:hint="eastAsia" w:ascii="仿宋" w:hAnsi="仿宋" w:eastAsia="仿宋" w:cs="仿宋"/>
                <w:sz w:val="24"/>
                <w:szCs w:val="24"/>
                <w:lang w:eastAsia="zh-CN"/>
              </w:rPr>
            </w:pPr>
          </w:p>
        </w:tc>
        <w:tc>
          <w:tcPr>
            <w:tcW w:w="1006" w:type="dxa"/>
            <w:noWrap/>
            <w:vAlign w:val="center"/>
          </w:tcPr>
          <w:p>
            <w:pPr>
              <w:spacing w:before="90" w:after="9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升</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w:t>
            </w:r>
          </w:p>
        </w:tc>
        <w:tc>
          <w:tcPr>
            <w:tcW w:w="2175" w:type="dxa"/>
            <w:noWrap/>
            <w:vAlign w:val="center"/>
          </w:tcPr>
          <w:p>
            <w:pPr>
              <w:tabs>
                <w:tab w:val="center" w:pos="872"/>
                <w:tab w:val="right" w:pos="1625"/>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食品级二氧化碳</w:t>
            </w:r>
          </w:p>
        </w:tc>
        <w:tc>
          <w:tcPr>
            <w:tcW w:w="2878" w:type="dxa"/>
            <w:noWrap/>
            <w:vAlign w:val="center"/>
          </w:tcPr>
          <w:p>
            <w:pPr>
              <w:tabs>
                <w:tab w:val="center" w:pos="872"/>
                <w:tab w:val="right" w:pos="1625"/>
              </w:tabs>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≥99.9</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w:t>
            </w:r>
          </w:p>
        </w:tc>
        <w:tc>
          <w:tcPr>
            <w:tcW w:w="1208" w:type="dxa"/>
            <w:noWrap/>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40L/瓶</w:t>
            </w:r>
          </w:p>
        </w:tc>
        <w:tc>
          <w:tcPr>
            <w:tcW w:w="1006" w:type="dxa"/>
            <w:noWrap/>
            <w:vAlign w:val="center"/>
          </w:tcPr>
          <w:p>
            <w:pPr>
              <w:spacing w:before="90" w:after="9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716"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w:t>
            </w:r>
          </w:p>
        </w:tc>
        <w:tc>
          <w:tcPr>
            <w:tcW w:w="2175"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kern w:val="2"/>
                <w:sz w:val="24"/>
                <w:szCs w:val="24"/>
                <w:lang w:eastAsia="zh-CN" w:bidi="ar-SA"/>
              </w:rPr>
              <w:t>二氧化碳</w:t>
            </w:r>
          </w:p>
        </w:tc>
        <w:tc>
          <w:tcPr>
            <w:tcW w:w="2878"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≥99.9%</w:t>
            </w:r>
          </w:p>
        </w:tc>
        <w:tc>
          <w:tcPr>
            <w:tcW w:w="1208" w:type="dxa"/>
            <w:noWrap/>
            <w:vAlign w:val="center"/>
          </w:tcPr>
          <w:p>
            <w:pPr>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40L/瓶</w:t>
            </w:r>
          </w:p>
        </w:tc>
        <w:tc>
          <w:tcPr>
            <w:tcW w:w="1006" w:type="dxa"/>
            <w:noWrap/>
            <w:vAlign w:val="center"/>
          </w:tcPr>
          <w:p>
            <w:pPr>
              <w:spacing w:before="90" w:after="90"/>
              <w:jc w:val="center"/>
              <w:rPr>
                <w:rFonts w:hint="eastAsia" w:ascii="仿宋" w:hAnsi="仿宋" w:eastAsia="仿宋" w:cs="仿宋"/>
                <w:kern w:val="2"/>
                <w:sz w:val="24"/>
                <w:szCs w:val="24"/>
                <w:lang w:eastAsia="zh-CN" w:bidi="ar-SA"/>
              </w:rPr>
            </w:pPr>
            <w:r>
              <w:rPr>
                <w:rFonts w:hint="eastAsia" w:ascii="仿宋" w:hAnsi="仿宋" w:eastAsia="仿宋" w:cs="仿宋"/>
                <w:sz w:val="24"/>
                <w:szCs w:val="24"/>
                <w:lang w:eastAsia="zh-CN"/>
              </w:rPr>
              <w:t>瓶</w:t>
            </w:r>
          </w:p>
        </w:tc>
        <w:tc>
          <w:tcPr>
            <w:tcW w:w="900" w:type="dxa"/>
            <w:noWrap/>
            <w:vAlign w:val="center"/>
          </w:tcPr>
          <w:p>
            <w:pPr>
              <w:spacing w:before="90" w:after="90"/>
              <w:jc w:val="both"/>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2175" w:type="dxa"/>
            <w:noWrap/>
            <w:vAlign w:val="center"/>
          </w:tcPr>
          <w:p>
            <w:pPr>
              <w:tabs>
                <w:tab w:val="center" w:pos="872"/>
                <w:tab w:val="right" w:pos="1625"/>
              </w:tabs>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气瓶</w:t>
            </w:r>
            <w:r>
              <w:rPr>
                <w:rFonts w:hint="eastAsia" w:ascii="仿宋" w:hAnsi="仿宋" w:eastAsia="仿宋" w:cs="仿宋"/>
                <w:sz w:val="24"/>
                <w:szCs w:val="24"/>
                <w:lang w:eastAsia="zh-CN"/>
              </w:rPr>
              <w:t>试压清洗</w:t>
            </w:r>
          </w:p>
        </w:tc>
        <w:tc>
          <w:tcPr>
            <w:tcW w:w="2878" w:type="dxa"/>
            <w:noWrap/>
            <w:vAlign w:val="center"/>
          </w:tcPr>
          <w:p>
            <w:pPr>
              <w:tabs>
                <w:tab w:val="center" w:pos="872"/>
                <w:tab w:val="right" w:pos="1625"/>
              </w:tabs>
              <w:jc w:val="center"/>
              <w:rPr>
                <w:rFonts w:hint="eastAsia" w:ascii="仿宋" w:hAnsi="仿宋" w:eastAsia="仿宋" w:cs="仿宋"/>
                <w:kern w:val="2"/>
                <w:sz w:val="24"/>
                <w:szCs w:val="24"/>
                <w:lang w:eastAsia="zh-CN" w:bidi="ar-SA"/>
              </w:rPr>
            </w:pPr>
            <w:r>
              <w:rPr>
                <w:rFonts w:hint="eastAsia" w:ascii="仿宋" w:hAnsi="仿宋" w:eastAsia="仿宋" w:cs="仿宋"/>
                <w:kern w:val="2"/>
                <w:sz w:val="24"/>
                <w:szCs w:val="24"/>
                <w:lang w:eastAsia="zh-CN" w:bidi="ar-SA"/>
              </w:rPr>
              <w:t>/</w:t>
            </w:r>
          </w:p>
        </w:tc>
        <w:tc>
          <w:tcPr>
            <w:tcW w:w="1208" w:type="dxa"/>
            <w:noWrap/>
            <w:vAlign w:val="center"/>
          </w:tcPr>
          <w:p>
            <w:pPr>
              <w:jc w:val="center"/>
              <w:rPr>
                <w:rFonts w:hint="eastAsia" w:ascii="仿宋" w:hAnsi="仿宋" w:eastAsia="仿宋" w:cs="仿宋"/>
                <w:kern w:val="2"/>
                <w:sz w:val="24"/>
                <w:szCs w:val="24"/>
                <w:lang w:eastAsia="zh-CN" w:bidi="ar-SA"/>
              </w:rPr>
            </w:pPr>
            <w:r>
              <w:rPr>
                <w:rFonts w:hint="eastAsia" w:ascii="仿宋" w:hAnsi="仿宋" w:eastAsia="仿宋" w:cs="仿宋"/>
                <w:kern w:val="2"/>
                <w:sz w:val="24"/>
                <w:szCs w:val="24"/>
                <w:lang w:eastAsia="zh-CN" w:bidi="ar-SA"/>
              </w:rPr>
              <w:t>/</w:t>
            </w:r>
          </w:p>
        </w:tc>
        <w:tc>
          <w:tcPr>
            <w:tcW w:w="1006" w:type="dxa"/>
            <w:noWrap/>
            <w:vAlign w:val="center"/>
          </w:tcPr>
          <w:p>
            <w:pPr>
              <w:spacing w:before="90" w:after="90"/>
              <w:jc w:val="center"/>
              <w:rPr>
                <w:rFonts w:hint="eastAsia" w:ascii="仿宋" w:hAnsi="仿宋" w:eastAsia="仿宋" w:cs="仿宋"/>
                <w:kern w:val="2"/>
                <w:sz w:val="24"/>
                <w:szCs w:val="24"/>
                <w:lang w:eastAsia="zh-CN" w:bidi="ar-SA"/>
              </w:rPr>
            </w:pPr>
            <w:r>
              <w:rPr>
                <w:rFonts w:hint="eastAsia" w:ascii="仿宋" w:hAnsi="仿宋" w:eastAsia="仿宋" w:cs="仿宋"/>
                <w:kern w:val="2"/>
                <w:sz w:val="24"/>
                <w:szCs w:val="24"/>
                <w:lang w:val="en-US" w:eastAsia="zh-CN" w:bidi="ar-SA"/>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16" w:type="dxa"/>
            <w:noWrap/>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2175" w:type="dxa"/>
            <w:noWrap/>
            <w:vAlign w:val="center"/>
          </w:tcPr>
          <w:p>
            <w:pPr>
              <w:tabs>
                <w:tab w:val="center" w:pos="872"/>
                <w:tab w:val="right" w:pos="1625"/>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气瓶搬运上楼费</w:t>
            </w:r>
          </w:p>
        </w:tc>
        <w:tc>
          <w:tcPr>
            <w:tcW w:w="2878" w:type="dxa"/>
            <w:noWrap/>
            <w:vAlign w:val="center"/>
          </w:tcPr>
          <w:p>
            <w:pPr>
              <w:tabs>
                <w:tab w:val="center" w:pos="872"/>
                <w:tab w:val="right" w:pos="1625"/>
              </w:tabs>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p>
        </w:tc>
        <w:tc>
          <w:tcPr>
            <w:tcW w:w="1208" w:type="dxa"/>
            <w:noWrap/>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p>
        </w:tc>
        <w:tc>
          <w:tcPr>
            <w:tcW w:w="1006" w:type="dxa"/>
            <w:noWrap/>
            <w:vAlign w:val="center"/>
          </w:tcPr>
          <w:p>
            <w:pPr>
              <w:spacing w:before="90" w:after="9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瓶</w:t>
            </w:r>
          </w:p>
        </w:tc>
        <w:tc>
          <w:tcPr>
            <w:tcW w:w="900" w:type="dxa"/>
            <w:noWrap/>
            <w:vAlign w:val="center"/>
          </w:tcPr>
          <w:p>
            <w:pPr>
              <w:spacing w:before="90" w:after="90"/>
              <w:jc w:val="center"/>
              <w:rPr>
                <w:rFonts w:hint="eastAsia" w:ascii="仿宋" w:hAnsi="仿宋" w:eastAsia="仿宋" w:cs="仿宋"/>
                <w:kern w:val="2"/>
                <w:sz w:val="24"/>
                <w:szCs w:val="24"/>
                <w:lang w:val="en-US" w:eastAsia="zh-CN" w:bidi="ar-SA"/>
              </w:rPr>
            </w:pPr>
          </w:p>
        </w:tc>
        <w:tc>
          <w:tcPr>
            <w:tcW w:w="1054" w:type="dxa"/>
            <w:noWrap/>
            <w:vAlign w:val="center"/>
          </w:tcPr>
          <w:p>
            <w:pPr>
              <w:widowControl/>
              <w:spacing w:before="90" w:after="90"/>
              <w:jc w:val="center"/>
              <w:rPr>
                <w:rFonts w:hint="eastAsia" w:ascii="仿宋" w:hAnsi="仿宋" w:eastAsia="仿宋" w:cs="仿宋"/>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9937" w:type="dxa"/>
            <w:gridSpan w:val="7"/>
            <w:noWrap/>
            <w:vAlign w:val="center"/>
          </w:tcPr>
          <w:p>
            <w:pPr>
              <w:widowControl/>
              <w:spacing w:before="90" w:after="90"/>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以上报价</w:t>
            </w:r>
            <w:r>
              <w:rPr>
                <w:rFonts w:hint="eastAsia" w:ascii="仿宋" w:hAnsi="仿宋" w:eastAsia="仿宋" w:cs="仿宋"/>
                <w:sz w:val="24"/>
                <w:szCs w:val="24"/>
                <w:lang w:val="en-US" w:eastAsia="zh-CN"/>
              </w:rPr>
              <w:t>为一次充装的价格，</w:t>
            </w:r>
            <w:r>
              <w:rPr>
                <w:rFonts w:hint="eastAsia" w:ascii="仿宋" w:hAnsi="仿宋" w:eastAsia="仿宋" w:cs="仿宋"/>
                <w:sz w:val="24"/>
                <w:szCs w:val="24"/>
                <w:lang w:eastAsia="zh-CN"/>
              </w:rPr>
              <w:t>含税含运费，免费</w:t>
            </w:r>
            <w:r>
              <w:rPr>
                <w:rFonts w:hint="eastAsia" w:ascii="仿宋" w:hAnsi="仿宋" w:eastAsia="仿宋" w:cs="仿宋"/>
                <w:sz w:val="24"/>
                <w:szCs w:val="24"/>
                <w:lang w:val="en-US" w:eastAsia="zh-CN"/>
              </w:rPr>
              <w:t>送到气瓶站房及院内其它指定地方（送上楼除外）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其余未报价气体价格按实时市场价供应。</w:t>
            </w:r>
          </w:p>
        </w:tc>
      </w:tr>
    </w:tbl>
    <w:p>
      <w:pPr>
        <w:widowControl/>
        <w:autoSpaceDE w:val="0"/>
        <w:autoSpaceDN w:val="0"/>
        <w:spacing w:line="360" w:lineRule="auto"/>
        <w:textAlignment w:val="bottom"/>
        <w:rPr>
          <w:rFonts w:hint="eastAsia" w:ascii="仿宋" w:hAnsi="仿宋" w:eastAsia="仿宋" w:cs="仿宋"/>
          <w:color w:val="000000"/>
          <w:sz w:val="28"/>
          <w:szCs w:val="28"/>
        </w:rPr>
      </w:pPr>
    </w:p>
    <w:p>
      <w:pPr>
        <w:widowControl/>
        <w:autoSpaceDE w:val="0"/>
        <w:autoSpaceDN w:val="0"/>
        <w:spacing w:line="360" w:lineRule="auto"/>
        <w:jc w:val="both"/>
        <w:textAlignment w:val="bottom"/>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除报价外同时满足本次询价公告所提出的所有服务要求。</w:t>
      </w:r>
    </w:p>
    <w:p>
      <w:pPr>
        <w:widowControl/>
        <w:autoSpaceDE w:val="0"/>
        <w:autoSpaceDN w:val="0"/>
        <w:spacing w:line="360" w:lineRule="auto"/>
        <w:ind w:firstLine="1400" w:firstLineChars="500"/>
        <w:jc w:val="both"/>
        <w:textAlignment w:val="bottom"/>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法定代表人或其委托代理人签名（或盖章）：                  </w:t>
      </w:r>
    </w:p>
    <w:p>
      <w:pPr>
        <w:widowControl/>
        <w:autoSpaceDE w:val="0"/>
        <w:autoSpaceDN w:val="0"/>
        <w:spacing w:line="360" w:lineRule="auto"/>
        <w:ind w:firstLine="560" w:firstLineChars="200"/>
        <w:jc w:val="center"/>
        <w:textAlignment w:val="bottom"/>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报价公司（公章）：                                          </w:t>
      </w:r>
    </w:p>
    <w:p>
      <w:pPr>
        <w:widowControl/>
        <w:autoSpaceDE w:val="0"/>
        <w:autoSpaceDN w:val="0"/>
        <w:spacing w:line="360" w:lineRule="auto"/>
        <w:ind w:firstLine="560" w:firstLineChars="200"/>
        <w:jc w:val="center"/>
        <w:textAlignment w:val="bottom"/>
        <w:rPr>
          <w:rFonts w:hint="eastAsia" w:ascii="仿宋" w:hAnsi="仿宋" w:eastAsia="仿宋" w:cs="仿宋"/>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NGU3NjcyNTM4NzBkMWEwYTU5NzA3ZjMwODkwOTQifQ=="/>
  </w:docVars>
  <w:rsids>
    <w:rsidRoot w:val="00572A2A"/>
    <w:rsid w:val="000A5A3C"/>
    <w:rsid w:val="000D34AB"/>
    <w:rsid w:val="000E2F58"/>
    <w:rsid w:val="00104DF9"/>
    <w:rsid w:val="00342000"/>
    <w:rsid w:val="00411401"/>
    <w:rsid w:val="00572A2A"/>
    <w:rsid w:val="008C6868"/>
    <w:rsid w:val="008D02FA"/>
    <w:rsid w:val="00BE1A29"/>
    <w:rsid w:val="00C17B65"/>
    <w:rsid w:val="00C20E7F"/>
    <w:rsid w:val="00C31E64"/>
    <w:rsid w:val="00C32586"/>
    <w:rsid w:val="00D962FB"/>
    <w:rsid w:val="00DF3B47"/>
    <w:rsid w:val="00E31611"/>
    <w:rsid w:val="00F744A3"/>
    <w:rsid w:val="06C81A80"/>
    <w:rsid w:val="08AE55A2"/>
    <w:rsid w:val="093E1E95"/>
    <w:rsid w:val="094B7596"/>
    <w:rsid w:val="0A2A173C"/>
    <w:rsid w:val="0D1150A6"/>
    <w:rsid w:val="0E924EC6"/>
    <w:rsid w:val="18001DBA"/>
    <w:rsid w:val="1C746B04"/>
    <w:rsid w:val="3193352E"/>
    <w:rsid w:val="33595004"/>
    <w:rsid w:val="39066A18"/>
    <w:rsid w:val="3C723457"/>
    <w:rsid w:val="42EB4A00"/>
    <w:rsid w:val="48D3558F"/>
    <w:rsid w:val="4FB43DA8"/>
    <w:rsid w:val="50E84524"/>
    <w:rsid w:val="56DE4F67"/>
    <w:rsid w:val="597B75A9"/>
    <w:rsid w:val="6B250086"/>
    <w:rsid w:val="6E081C25"/>
    <w:rsid w:val="6E5446CE"/>
    <w:rsid w:val="6F0E31AA"/>
    <w:rsid w:val="6F255FBF"/>
    <w:rsid w:val="7DC12696"/>
    <w:rsid w:val="7E26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5"/>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rPr>
      <w:b/>
      <w:bCs/>
      <w:sz w:val="44"/>
      <w:szCs w:val="20"/>
    </w:rPr>
  </w:style>
  <w:style w:type="paragraph" w:styleId="4">
    <w:name w:val="Plain Text"/>
    <w:basedOn w:val="1"/>
    <w:autoRedefine/>
    <w:qFormat/>
    <w:uiPriority w:val="0"/>
    <w:rPr>
      <w:rFonts w:ascii="宋体" w:hAnsi="Courier New"/>
      <w:sz w:val="21"/>
    </w:rPr>
  </w:style>
  <w:style w:type="paragraph" w:styleId="5">
    <w:name w:val="footer"/>
    <w:basedOn w:val="1"/>
    <w:link w:val="14"/>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autoRedefine/>
    <w:qFormat/>
    <w:uiPriority w:val="0"/>
    <w:pPr>
      <w:ind w:left="0" w:firstLine="420" w:firstLineChars="200"/>
    </w:pPr>
    <w:rPr>
      <w:rFonts w:ascii="Calibri" w:hAnsi="Calibri" w:eastAsia="宋体" w:cs="Times New Roman"/>
      <w:szCs w:val="22"/>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autoRedefine/>
    <w:semiHidden/>
    <w:unhideWhenUsed/>
    <w:qFormat/>
    <w:uiPriority w:val="99"/>
    <w:rPr>
      <w:color w:val="0000FF"/>
      <w:u w:val="single"/>
    </w:rPr>
  </w:style>
  <w:style w:type="character" w:customStyle="1" w:styleId="13">
    <w:name w:val="页眉 Char"/>
    <w:basedOn w:val="11"/>
    <w:link w:val="6"/>
    <w:autoRedefine/>
    <w:semiHidden/>
    <w:qFormat/>
    <w:uiPriority w:val="99"/>
    <w:rPr>
      <w:sz w:val="18"/>
      <w:szCs w:val="18"/>
    </w:rPr>
  </w:style>
  <w:style w:type="character" w:customStyle="1" w:styleId="14">
    <w:name w:val="页脚 Char"/>
    <w:basedOn w:val="11"/>
    <w:link w:val="5"/>
    <w:autoRedefine/>
    <w:semiHidden/>
    <w:qFormat/>
    <w:uiPriority w:val="99"/>
    <w:rPr>
      <w:sz w:val="18"/>
      <w:szCs w:val="18"/>
    </w:rPr>
  </w:style>
  <w:style w:type="character" w:customStyle="1" w:styleId="15">
    <w:name w:val="标题 1 Char"/>
    <w:basedOn w:val="11"/>
    <w:link w:val="2"/>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6302-3CCC-4FA4-8809-9FD52E27769D}">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349</Characters>
  <Lines>2</Lines>
  <Paragraphs>1</Paragraphs>
  <TotalTime>32</TotalTime>
  <ScaleCrop>false</ScaleCrop>
  <LinksUpToDate>false</LinksUpToDate>
  <CharactersWithSpaces>409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2021-05-06T08:15:00Z</dcterms:created>
  <dc:creator>lenovo</dc:creator>
  <cp:lastModifiedBy>泌脱蓝蹈遮</cp:lastModifiedBy>
  <dcterms:modified xsi:type="dcterms:W3CDTF">2024-03-08T08:50:11Z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07A41F1F3C074D6495961F1F3DC1227F_13</vt:lpwstr>
  </property>
</Properties>
</file>