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广西国际壮医医院舆情监控服务需求方案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为进一步维护医院品牌形象，全方位整合传统媒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体与新媒体等媒介平台舆情信息，实时追踪我院热门舆情信息，助力传播宣传、了解竞争情报，洞察市场行情，需采购第三方舆情监测平台，为我院提供舆情监测、分析、优化等一站式服务。</w:t>
      </w:r>
    </w:p>
    <w:p>
      <w:pPr>
        <w:numPr>
          <w:ilvl w:val="0"/>
          <w:numId w:val="1"/>
        </w:numPr>
        <w:tabs>
          <w:tab w:val="left" w:pos="360"/>
          <w:tab w:val="left" w:pos="426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舆情监测系统服务内容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全网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24小时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信息实时监测：自定义添加自身、行业、竞品等监测主题，系统实时抓取监测数据，自动进行语义分析并通过列表的形式展示相关数据；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多维度数据分析：通过声量趋势、情感分布、媒体类型、高频词云、热门媒体等数据维度分析监测主题；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双预警设置：支持手动和自动双预警模式，任意选择预警接收人并以短信、微信、邮箱等多种形式通知接收人预警信息，支持多人同时接收；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监测报告呈现：支持手动编辑报告和自动生成报告，可自定义报告数据范围，从传播趋势、情感分布、媒体分布、重点话题等多维度分析呈现，及时送达，及时了解舆论环境，节点（季度）数据报告需提供人工报告分析并给予建议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舆情事件分析：对于某项特定事件进行个性化分析，该事件在互联网上的分布情况、信息溯源、发展趋势以及网民观点等要素。同时生成舆情分析报告，为舆情事件的处置提供依据；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6.品牌正面修复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医院若发生重大舆情，可配合内容发布，快速提升网络正面声量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针对站内论坛、公众号等涉及负面信息实时预警。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7.人员能力提升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针对医院全员提供意识形态、舆情管理、舆情应对等相关培训。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二、舆情监测系统平台技术要求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1.可设置医院主体相关关键词≥10个；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2.可不限量配置监测方案，并支持随时调整；可不限量设置科室、人员、疾病等包含词、排除词等。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3.可登录子账户数≥1个；移动端适配；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4.应对事件专项分析报告≥12次；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5.监测数据报告服务，包含日报、周报、月报、自定义报告等，支持在线调整、下载等；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6.全方位整合传统媒体、门户网站、微信、短视频、微博、论坛等监测；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7.监测数据可随时批量导出并保存；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8.医院若发生重大舆情，可在品牌口碑修复阶段提供正面内容发布支持。</w:t>
      </w:r>
    </w:p>
    <w:p>
      <w:pP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三、其他要求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项目核心团队成员不少于 3 人，其中需要有不少于1个医疗专业背景的相关人员，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项目团队至少还需要有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 人或以上协同医院操作舆情系统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，需要有新闻传播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或法学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背景的相关人员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 w:eastAsia="zh-CN" w:bidi="ar-SA"/>
        </w:rPr>
        <w:t>提供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7*24小时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zh-CN" w:eastAsia="zh-CN" w:bidi="ar-SA"/>
        </w:rPr>
        <w:t>专属一对一运营人员；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3.需提供舆情事件预防及应对的相关配套；</w:t>
      </w:r>
    </w:p>
    <w:p>
      <w:pPr>
        <w:pStyle w:val="2"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4.提供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舆情管理及应对专题培训（全年不少于1次，方式不限）;</w:t>
      </w:r>
    </w:p>
    <w:p>
      <w:pPr>
        <w:pStyle w:val="2"/>
        <w:spacing w:line="240" w:lineRule="auto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5.服务年限3年。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03EDC"/>
    <w:multiLevelType w:val="singleLevel"/>
    <w:tmpl w:val="D6603E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38887BBD"/>
    <w:rsid w:val="483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2023-11-09T10:16:00Z</dcterms:created>
  <dc:creator>Administrator</dc:creator>
  <cp:lastModifiedBy>覃双宜</cp:lastModifiedBy>
  <dcterms:modified xsi:type="dcterms:W3CDTF">2024-01-23T03:11:48Z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884FAA66F0E24D55B83C0C958076D398_12</vt:lpwstr>
  </property>
</Properties>
</file>