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1400" w:firstLineChars="500"/>
        <w:jc w:val="both"/>
        <w:rPr>
          <w:rFonts w:hint="eastAsia" w:ascii="宋体" w:hAnsi="宋体" w:eastAsia="宋体" w:cs="宋体"/>
          <w:sz w:val="28"/>
          <w:szCs w:val="28"/>
          <w:u w:val="none"/>
          <w:lang w:eastAsia="zh-CN"/>
        </w:rPr>
      </w:pPr>
      <w:r>
        <w:rPr>
          <w:rFonts w:hint="eastAsia" w:ascii="宋体" w:hAnsi="宋体" w:eastAsia="宋体" w:cs="宋体"/>
          <w:b w:val="0"/>
          <w:bCs w:val="0"/>
          <w:color w:val="000000" w:themeColor="text1"/>
          <w:sz w:val="28"/>
          <w:szCs w:val="28"/>
          <w14:textFill>
            <w14:solidFill>
              <w14:schemeClr w14:val="tx1"/>
            </w14:solidFill>
          </w14:textFill>
        </w:rPr>
        <w:t>广西国际壮医医院明秀分院</w:t>
      </w:r>
      <w:r>
        <w:rPr>
          <w:rFonts w:hint="eastAsia" w:ascii="宋体" w:hAnsi="宋体" w:eastAsia="宋体" w:cs="宋体"/>
          <w:b w:val="0"/>
          <w:bCs w:val="0"/>
          <w:color w:val="000000" w:themeColor="text1"/>
          <w:sz w:val="28"/>
          <w:szCs w:val="28"/>
          <w:lang w:eastAsia="zh-CN"/>
          <w14:textFill>
            <w14:solidFill>
              <w14:schemeClr w14:val="tx1"/>
            </w14:solidFill>
          </w14:textFill>
        </w:rPr>
        <w:t>医疗责任险</w:t>
      </w:r>
      <w:r>
        <w:rPr>
          <w:rFonts w:hint="eastAsia" w:ascii="宋体" w:hAnsi="宋体" w:eastAsia="宋体" w:cs="宋体"/>
          <w:sz w:val="28"/>
          <w:szCs w:val="28"/>
          <w:u w:val="none"/>
          <w:lang w:eastAsia="zh-CN"/>
        </w:rPr>
        <w:t>需求方案</w:t>
      </w:r>
    </w:p>
    <w:tbl>
      <w:tblPr>
        <w:tblStyle w:val="4"/>
        <w:tblpPr w:leftFromText="180" w:rightFromText="180" w:vertAnchor="text" w:horzAnchor="page" w:tblpX="1945" w:tblpY="275"/>
        <w:tblOverlap w:val="never"/>
        <w:tblW w:w="82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7"/>
        <w:gridCol w:w="1748"/>
        <w:gridCol w:w="795"/>
        <w:gridCol w:w="818"/>
        <w:gridCol w:w="2023"/>
        <w:gridCol w:w="1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917" w:type="dxa"/>
            <w:vAlign w:val="center"/>
          </w:tcPr>
          <w:p>
            <w:pPr>
              <w:keepNext w:val="0"/>
              <w:keepLines w:val="0"/>
              <w:pageBreakBefore w:val="0"/>
              <w:kinsoku/>
              <w:wordWrap/>
              <w:overflowPunct/>
              <w:topLinePunct w:val="0"/>
              <w:autoSpaceDE/>
              <w:autoSpaceDN/>
              <w:bidi w:val="0"/>
              <w:adjustRightInd/>
              <w:spacing w:line="420" w:lineRule="exact"/>
              <w:jc w:val="center"/>
              <w:textAlignment w:val="auto"/>
              <w:rPr>
                <w:rFonts w:hint="eastAsia" w:ascii="仿宋" w:hAnsi="仿宋" w:eastAsia="仿宋" w:cs="仿宋"/>
                <w:b w:val="0"/>
                <w:bCs w:val="0"/>
                <w:color w:val="000000" w:themeColor="text1"/>
                <w:kern w:val="0"/>
                <w:sz w:val="28"/>
                <w:szCs w:val="28"/>
                <w14:textFill>
                  <w14:solidFill>
                    <w14:schemeClr w14:val="tx1"/>
                  </w14:solidFill>
                </w14:textFill>
              </w:rPr>
            </w:pPr>
            <w:r>
              <w:rPr>
                <w:rFonts w:hint="eastAsia" w:ascii="仿宋" w:hAnsi="仿宋" w:eastAsia="仿宋" w:cs="仿宋"/>
                <w:b w:val="0"/>
                <w:bCs w:val="0"/>
                <w:color w:val="000000" w:themeColor="text1"/>
                <w:kern w:val="0"/>
                <w:sz w:val="28"/>
                <w:szCs w:val="28"/>
                <w14:textFill>
                  <w14:solidFill>
                    <w14:schemeClr w14:val="tx1"/>
                  </w14:solidFill>
                </w14:textFill>
              </w:rPr>
              <w:t>序号</w:t>
            </w:r>
          </w:p>
        </w:tc>
        <w:tc>
          <w:tcPr>
            <w:tcW w:w="1748" w:type="dxa"/>
            <w:vAlign w:val="center"/>
          </w:tcPr>
          <w:p>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采购内容</w:t>
            </w:r>
          </w:p>
        </w:tc>
        <w:tc>
          <w:tcPr>
            <w:tcW w:w="795" w:type="dxa"/>
            <w:vAlign w:val="center"/>
          </w:tcPr>
          <w:p>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仿宋" w:hAnsi="仿宋" w:eastAsia="仿宋" w:cs="仿宋"/>
                <w:b w:val="0"/>
                <w:bCs w:val="0"/>
                <w:color w:val="000000" w:themeColor="text1"/>
                <w:kern w:val="0"/>
                <w:sz w:val="28"/>
                <w:szCs w:val="28"/>
                <w14:textFill>
                  <w14:solidFill>
                    <w14:schemeClr w14:val="tx1"/>
                  </w14:solidFill>
                </w14:textFill>
              </w:rPr>
            </w:pPr>
            <w:r>
              <w:rPr>
                <w:rFonts w:hint="eastAsia" w:ascii="仿宋" w:hAnsi="仿宋" w:eastAsia="仿宋" w:cs="仿宋"/>
                <w:b w:val="0"/>
                <w:bCs w:val="0"/>
                <w:color w:val="000000" w:themeColor="text1"/>
                <w:kern w:val="0"/>
                <w:sz w:val="28"/>
                <w:szCs w:val="28"/>
                <w14:textFill>
                  <w14:solidFill>
                    <w14:schemeClr w14:val="tx1"/>
                  </w14:solidFill>
                </w14:textFill>
              </w:rPr>
              <w:t>单位</w:t>
            </w:r>
          </w:p>
        </w:tc>
        <w:tc>
          <w:tcPr>
            <w:tcW w:w="818" w:type="dxa"/>
            <w:vAlign w:val="center"/>
          </w:tcPr>
          <w:p>
            <w:pPr>
              <w:keepNext w:val="0"/>
              <w:keepLines w:val="0"/>
              <w:pageBreakBefore w:val="0"/>
              <w:kinsoku/>
              <w:wordWrap/>
              <w:overflowPunct/>
              <w:topLinePunct w:val="0"/>
              <w:autoSpaceDE/>
              <w:autoSpaceDN/>
              <w:bidi w:val="0"/>
              <w:adjustRightInd/>
              <w:spacing w:line="420" w:lineRule="exact"/>
              <w:jc w:val="center"/>
              <w:textAlignment w:val="auto"/>
              <w:rPr>
                <w:rFonts w:hint="eastAsia" w:ascii="仿宋" w:hAnsi="仿宋" w:eastAsia="仿宋" w:cs="仿宋"/>
                <w:b w:val="0"/>
                <w:bCs w:val="0"/>
                <w:color w:val="000000" w:themeColor="text1"/>
                <w:kern w:val="0"/>
                <w:sz w:val="28"/>
                <w:szCs w:val="28"/>
                <w:lang w:eastAsia="zh-CN"/>
                <w14:textFill>
                  <w14:solidFill>
                    <w14:schemeClr w14:val="tx1"/>
                  </w14:solidFill>
                </w14:textFill>
              </w:rPr>
            </w:pPr>
            <w:r>
              <w:rPr>
                <w:rFonts w:hint="eastAsia" w:ascii="仿宋" w:hAnsi="仿宋" w:eastAsia="仿宋" w:cs="仿宋"/>
                <w:b w:val="0"/>
                <w:bCs w:val="0"/>
                <w:color w:val="000000" w:themeColor="text1"/>
                <w:kern w:val="0"/>
                <w:sz w:val="28"/>
                <w:szCs w:val="28"/>
                <w:lang w:eastAsia="zh-CN"/>
                <w14:textFill>
                  <w14:solidFill>
                    <w14:schemeClr w14:val="tx1"/>
                  </w14:solidFill>
                </w14:textFill>
              </w:rPr>
              <w:t>数量</w:t>
            </w:r>
          </w:p>
        </w:tc>
        <w:tc>
          <w:tcPr>
            <w:tcW w:w="2023" w:type="dxa"/>
            <w:vAlign w:val="center"/>
          </w:tcPr>
          <w:p>
            <w:pPr>
              <w:keepNext w:val="0"/>
              <w:keepLines w:val="0"/>
              <w:pageBreakBefore w:val="0"/>
              <w:kinsoku/>
              <w:wordWrap/>
              <w:overflowPunct/>
              <w:topLinePunct w:val="0"/>
              <w:autoSpaceDE/>
              <w:autoSpaceDN/>
              <w:bidi w:val="0"/>
              <w:adjustRightInd/>
              <w:spacing w:line="420" w:lineRule="exact"/>
              <w:jc w:val="center"/>
              <w:textAlignment w:val="auto"/>
              <w:rPr>
                <w:rFonts w:hint="eastAsia" w:ascii="仿宋" w:hAnsi="仿宋" w:eastAsia="仿宋" w:cs="仿宋"/>
                <w:b w:val="0"/>
                <w:bCs w:val="0"/>
                <w:color w:val="000000" w:themeColor="text1"/>
                <w:kern w:val="0"/>
                <w:sz w:val="28"/>
                <w:szCs w:val="28"/>
                <w14:textFill>
                  <w14:solidFill>
                    <w14:schemeClr w14:val="tx1"/>
                  </w14:solidFill>
                </w14:textFill>
              </w:rPr>
            </w:pPr>
            <w:r>
              <w:rPr>
                <w:rFonts w:hint="eastAsia" w:ascii="仿宋" w:hAnsi="仿宋" w:eastAsia="仿宋" w:cs="仿宋"/>
                <w:b w:val="0"/>
                <w:bCs w:val="0"/>
                <w:color w:val="000000" w:themeColor="text1"/>
                <w:kern w:val="0"/>
                <w:sz w:val="28"/>
                <w:szCs w:val="28"/>
                <w14:textFill>
                  <w14:solidFill>
                    <w14:schemeClr w14:val="tx1"/>
                  </w14:solidFill>
                </w14:textFill>
              </w:rPr>
              <w:t>采购预算（元）</w:t>
            </w:r>
          </w:p>
        </w:tc>
        <w:tc>
          <w:tcPr>
            <w:tcW w:w="1996" w:type="dxa"/>
            <w:tcBorders>
              <w:right w:val="single" w:color="auto" w:sz="4" w:space="0"/>
            </w:tcBorders>
            <w:vAlign w:val="center"/>
          </w:tcPr>
          <w:p>
            <w:pPr>
              <w:keepNext w:val="0"/>
              <w:keepLines w:val="0"/>
              <w:pageBreakBefore w:val="0"/>
              <w:kinsoku/>
              <w:wordWrap/>
              <w:overflowPunct/>
              <w:topLinePunct w:val="0"/>
              <w:autoSpaceDE/>
              <w:autoSpaceDN/>
              <w:bidi w:val="0"/>
              <w:adjustRightInd/>
              <w:spacing w:line="420" w:lineRule="exact"/>
              <w:jc w:val="center"/>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最高限</w:t>
            </w:r>
            <w:r>
              <w:rPr>
                <w:rFonts w:hint="eastAsia" w:ascii="仿宋" w:hAnsi="仿宋" w:eastAsia="仿宋" w:cs="仿宋"/>
                <w:b w:val="0"/>
                <w:bCs w:val="0"/>
                <w:color w:val="000000" w:themeColor="text1"/>
                <w:sz w:val="28"/>
                <w:szCs w:val="28"/>
                <w:lang w:eastAsia="zh-CN"/>
                <w14:textFill>
                  <w14:solidFill>
                    <w14:schemeClr w14:val="tx1"/>
                  </w14:solidFill>
                </w14:textFill>
              </w:rPr>
              <w:t>价</w:t>
            </w:r>
            <w:r>
              <w:rPr>
                <w:rFonts w:hint="eastAsia" w:ascii="仿宋" w:hAnsi="仿宋" w:eastAsia="仿宋" w:cs="仿宋"/>
                <w:b w:val="0"/>
                <w:bCs w:val="0"/>
                <w:color w:val="000000" w:themeColor="text1"/>
                <w:sz w:val="28"/>
                <w:szCs w:val="28"/>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trPr>
        <w:tc>
          <w:tcPr>
            <w:tcW w:w="917" w:type="dxa"/>
            <w:vAlign w:val="center"/>
          </w:tcPr>
          <w:p>
            <w:pPr>
              <w:spacing w:line="380" w:lineRule="exact"/>
              <w:jc w:val="cente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1</w:t>
            </w:r>
          </w:p>
        </w:tc>
        <w:tc>
          <w:tcPr>
            <w:tcW w:w="1748" w:type="dxa"/>
            <w:vAlign w:val="center"/>
          </w:tcPr>
          <w:p>
            <w:pPr>
              <w:keepNext w:val="0"/>
              <w:keepLines w:val="0"/>
              <w:widowControl/>
              <w:suppressLineNumbers w:val="0"/>
              <w:jc w:val="center"/>
              <w:rPr>
                <w:rFonts w:hint="eastAsia" w:ascii="仿宋" w:hAnsi="仿宋" w:eastAsia="仿宋" w:cs="仿宋"/>
                <w:b w:val="0"/>
                <w:bCs w:val="0"/>
                <w:color w:val="000000" w:themeColor="text1"/>
                <w:kern w:val="0"/>
                <w:sz w:val="28"/>
                <w:szCs w:val="28"/>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医疗责任险</w:t>
            </w:r>
          </w:p>
        </w:tc>
        <w:tc>
          <w:tcPr>
            <w:tcW w:w="795" w:type="dxa"/>
            <w:vAlign w:val="center"/>
          </w:tcPr>
          <w:p>
            <w:pPr>
              <w:autoSpaceDE w:val="0"/>
              <w:autoSpaceDN w:val="0"/>
              <w:adjustRightInd w:val="0"/>
              <w:spacing w:line="380" w:lineRule="exact"/>
              <w:jc w:val="center"/>
              <w:rPr>
                <w:rFonts w:hint="eastAsia" w:ascii="仿宋" w:hAnsi="仿宋" w:eastAsia="仿宋" w:cs="仿宋"/>
                <w:b w:val="0"/>
                <w:bCs w:val="0"/>
                <w:color w:val="000000" w:themeColor="text1"/>
                <w:kern w:val="0"/>
                <w:sz w:val="28"/>
                <w:szCs w:val="28"/>
                <w14:textFill>
                  <w14:solidFill>
                    <w14:schemeClr w14:val="tx1"/>
                  </w14:solidFill>
                </w14:textFill>
              </w:rPr>
            </w:pPr>
            <w:r>
              <w:rPr>
                <w:rFonts w:hint="eastAsia" w:ascii="仿宋" w:hAnsi="仿宋" w:eastAsia="仿宋" w:cs="仿宋"/>
                <w:b w:val="0"/>
                <w:bCs w:val="0"/>
                <w:color w:val="000000" w:themeColor="text1"/>
                <w:kern w:val="0"/>
                <w:sz w:val="28"/>
                <w:szCs w:val="28"/>
                <w:lang w:eastAsia="zh-CN"/>
                <w14:textFill>
                  <w14:solidFill>
                    <w14:schemeClr w14:val="tx1"/>
                  </w14:solidFill>
                </w14:textFill>
              </w:rPr>
              <w:t>项</w:t>
            </w:r>
          </w:p>
        </w:tc>
        <w:tc>
          <w:tcPr>
            <w:tcW w:w="818" w:type="dxa"/>
            <w:vAlign w:val="center"/>
          </w:tcPr>
          <w:p>
            <w:pPr>
              <w:spacing w:line="380" w:lineRule="exact"/>
              <w:jc w:val="cente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1</w:t>
            </w:r>
          </w:p>
        </w:tc>
        <w:tc>
          <w:tcPr>
            <w:tcW w:w="2023" w:type="dxa"/>
            <w:vAlign w:val="center"/>
          </w:tcPr>
          <w:p>
            <w:pPr>
              <w:spacing w:line="380" w:lineRule="exact"/>
              <w:jc w:val="cente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40000.00</w:t>
            </w:r>
          </w:p>
        </w:tc>
        <w:tc>
          <w:tcPr>
            <w:tcW w:w="1996" w:type="dxa"/>
            <w:tcBorders>
              <w:right w:val="single" w:color="auto" w:sz="4" w:space="0"/>
            </w:tcBorders>
            <w:vAlign w:val="center"/>
          </w:tcPr>
          <w:p>
            <w:pPr>
              <w:spacing w:line="380" w:lineRule="exact"/>
              <w:jc w:val="cente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40000.00</w:t>
            </w:r>
          </w:p>
        </w:tc>
      </w:tr>
    </w:tbl>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olor w:val="000000" w:themeColor="text1"/>
          <w:sz w:val="28"/>
          <w:szCs w:val="28"/>
          <w:u w:val="none"/>
          <w:lang w:val="en-US" w:eastAsia="zh-CN"/>
          <w14:textFill>
            <w14:solidFill>
              <w14:schemeClr w14:val="tx1"/>
            </w14:solidFill>
          </w14:textFill>
        </w:rPr>
      </w:pPr>
      <w:bookmarkStart w:id="0" w:name="_GoBack"/>
      <w:bookmarkEnd w:id="0"/>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保险方案：</w:t>
      </w:r>
    </w:p>
    <w:p>
      <w:pPr>
        <w:keepNext w:val="0"/>
        <w:keepLines w:val="0"/>
        <w:pageBreakBefore w:val="0"/>
        <w:widowControl w:val="0"/>
        <w:numPr>
          <w:ilvl w:val="0"/>
          <w:numId w:val="1"/>
        </w:numPr>
        <w:tabs>
          <w:tab w:val="left" w:pos="39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医疗责任每人赔偿限额：</w:t>
      </w: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0</w:t>
      </w:r>
      <w:r>
        <w:rPr>
          <w:rFonts w:hint="eastAsia" w:ascii="仿宋" w:hAnsi="仿宋" w:eastAsia="仿宋" w:cs="仿宋"/>
          <w:sz w:val="28"/>
          <w:szCs w:val="28"/>
        </w:rPr>
        <w:t>万元</w:t>
      </w:r>
      <w:r>
        <w:rPr>
          <w:rFonts w:hint="eastAsia" w:ascii="仿宋" w:hAnsi="仿宋" w:eastAsia="仿宋" w:cs="仿宋"/>
          <w:sz w:val="28"/>
          <w:szCs w:val="28"/>
          <w:lang w:eastAsia="zh-CN"/>
        </w:rPr>
        <w:t>；</w:t>
      </w:r>
    </w:p>
    <w:p>
      <w:pPr>
        <w:keepNext w:val="0"/>
        <w:keepLines w:val="0"/>
        <w:pageBreakBefore w:val="0"/>
        <w:widowControl w:val="0"/>
        <w:numPr>
          <w:ilvl w:val="0"/>
          <w:numId w:val="0"/>
        </w:numPr>
        <w:tabs>
          <w:tab w:val="left" w:pos="39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2、医疗责任累计赔偿限额：</w:t>
      </w:r>
      <w:r>
        <w:rPr>
          <w:rFonts w:hint="eastAsia" w:ascii="仿宋" w:hAnsi="仿宋" w:eastAsia="仿宋" w:cs="仿宋"/>
          <w:sz w:val="28"/>
          <w:szCs w:val="28"/>
          <w:lang w:val="en-US" w:eastAsia="zh-CN"/>
        </w:rPr>
        <w:t>100</w:t>
      </w:r>
      <w:r>
        <w:rPr>
          <w:rFonts w:hint="eastAsia" w:ascii="仿宋" w:hAnsi="仿宋" w:eastAsia="仿宋" w:cs="仿宋"/>
          <w:sz w:val="28"/>
          <w:szCs w:val="28"/>
        </w:rPr>
        <w:t>万元；</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rPr>
        <w:t>3、法律费用累计赔偿限额：</w:t>
      </w:r>
      <w:r>
        <w:rPr>
          <w:rFonts w:hint="eastAsia" w:ascii="仿宋" w:hAnsi="仿宋" w:eastAsia="仿宋" w:cs="仿宋"/>
          <w:sz w:val="28"/>
          <w:szCs w:val="28"/>
          <w:lang w:val="en-US" w:eastAsia="zh-CN"/>
        </w:rPr>
        <w:t>15</w:t>
      </w:r>
      <w:r>
        <w:rPr>
          <w:rFonts w:hint="eastAsia" w:ascii="仿宋" w:hAnsi="仿宋" w:eastAsia="仿宋" w:cs="仿宋"/>
          <w:sz w:val="28"/>
          <w:szCs w:val="28"/>
        </w:rPr>
        <w:t>万元；法律费用每次索赔赔偿限额：</w:t>
      </w:r>
      <w:r>
        <w:rPr>
          <w:rFonts w:hint="eastAsia" w:ascii="仿宋" w:hAnsi="仿宋" w:eastAsia="仿宋" w:cs="仿宋"/>
          <w:sz w:val="28"/>
          <w:szCs w:val="28"/>
          <w:lang w:val="en-US" w:eastAsia="zh-CN"/>
        </w:rPr>
        <w:t>15</w:t>
      </w:r>
      <w:r>
        <w:rPr>
          <w:rFonts w:hint="eastAsia" w:ascii="仿宋" w:hAnsi="仿宋" w:eastAsia="仿宋" w:cs="仿宋"/>
          <w:sz w:val="28"/>
          <w:szCs w:val="28"/>
        </w:rPr>
        <w:t>万元。</w:t>
      </w:r>
      <w:r>
        <w:rPr>
          <w:rFonts w:hint="eastAsia" w:ascii="仿宋" w:hAnsi="仿宋" w:eastAsia="仿宋" w:cs="仿宋"/>
          <w:color w:val="000000"/>
          <w:sz w:val="28"/>
          <w:szCs w:val="28"/>
        </w:rPr>
        <w:t>法律费用每次事故赔偿限额以及法律费用累计赔偿限额均为累计赔偿限额的15%，且在累计赔偿限额之外计算</w:t>
      </w:r>
      <w:r>
        <w:rPr>
          <w:rFonts w:hint="eastAsia" w:ascii="仿宋" w:hAnsi="仿宋" w:eastAsia="仿宋" w:cs="仿宋"/>
          <w:color w:val="000000"/>
          <w:sz w:val="28"/>
          <w:szCs w:val="28"/>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精神损害每人责任限额：为医疗责任每人责任限额的30%（保额</w:t>
      </w:r>
      <w:r>
        <w:rPr>
          <w:rFonts w:hint="eastAsia" w:ascii="仿宋" w:hAnsi="仿宋" w:eastAsia="仿宋" w:cs="仿宋"/>
          <w:sz w:val="28"/>
          <w:szCs w:val="28"/>
          <w:lang w:val="en-US" w:eastAsia="zh-CN"/>
        </w:rPr>
        <w:t>9</w:t>
      </w:r>
      <w:r>
        <w:rPr>
          <w:rFonts w:hint="eastAsia" w:ascii="仿宋" w:hAnsi="仿宋" w:eastAsia="仿宋" w:cs="仿宋"/>
          <w:sz w:val="28"/>
          <w:szCs w:val="28"/>
        </w:rPr>
        <w:t>万元），并包含在医疗责任每人限额内；</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rPr>
        <w:t>医疗意外的每人赔偿限额和累计赔偿限额为医疗责任赔偿限额的35%</w:t>
      </w:r>
      <w:r>
        <w:rPr>
          <w:rFonts w:hint="eastAsia" w:ascii="仿宋" w:hAnsi="仿宋" w:eastAsia="仿宋" w:cs="仿宋"/>
          <w:sz w:val="28"/>
          <w:szCs w:val="28"/>
          <w:lang w:eastAsia="zh-CN"/>
        </w:rPr>
        <w:t>　</w:t>
      </w:r>
      <w:r>
        <w:rPr>
          <w:rFonts w:hint="eastAsia" w:ascii="仿宋" w:hAnsi="仿宋" w:eastAsia="仿宋" w:cs="仿宋"/>
          <w:sz w:val="28"/>
          <w:szCs w:val="28"/>
        </w:rPr>
        <w:t>（</w:t>
      </w:r>
      <w:r>
        <w:rPr>
          <w:rFonts w:hint="eastAsia" w:ascii="仿宋" w:hAnsi="仿宋" w:eastAsia="仿宋" w:cs="仿宋"/>
          <w:sz w:val="28"/>
          <w:szCs w:val="28"/>
          <w:lang w:eastAsia="zh-CN"/>
        </w:rPr>
        <w:t>即医疗意外：每人责任限额为</w:t>
      </w:r>
      <w:r>
        <w:rPr>
          <w:rFonts w:hint="eastAsia" w:ascii="仿宋" w:hAnsi="仿宋" w:eastAsia="仿宋" w:cs="仿宋"/>
          <w:color w:val="000000" w:themeColor="text1"/>
          <w:sz w:val="28"/>
          <w:szCs w:val="28"/>
          <w:lang w:val="en-US" w:eastAsia="zh-CN"/>
          <w14:textFill>
            <w14:solidFill>
              <w14:schemeClr w14:val="tx1"/>
            </w14:solidFill>
          </w14:textFill>
        </w:rPr>
        <w:t>10.5</w:t>
      </w:r>
      <w:r>
        <w:rPr>
          <w:rFonts w:hint="eastAsia" w:ascii="仿宋" w:hAnsi="仿宋" w:eastAsia="仿宋" w:cs="仿宋"/>
          <w:sz w:val="28"/>
          <w:szCs w:val="28"/>
        </w:rPr>
        <w:t>万元</w:t>
      </w:r>
      <w:r>
        <w:rPr>
          <w:rFonts w:hint="eastAsia" w:ascii="仿宋" w:hAnsi="仿宋" w:eastAsia="仿宋" w:cs="仿宋"/>
          <w:sz w:val="28"/>
          <w:szCs w:val="28"/>
          <w:lang w:eastAsia="zh-CN"/>
        </w:rPr>
        <w:t>，</w:t>
      </w:r>
      <w:r>
        <w:rPr>
          <w:rFonts w:hint="eastAsia" w:ascii="仿宋" w:hAnsi="仿宋" w:eastAsia="仿宋" w:cs="仿宋"/>
          <w:sz w:val="28"/>
          <w:szCs w:val="28"/>
        </w:rPr>
        <w:t>累计赔偿限额为</w:t>
      </w:r>
      <w:r>
        <w:rPr>
          <w:rFonts w:hint="eastAsia" w:ascii="仿宋" w:hAnsi="仿宋" w:eastAsia="仿宋" w:cs="仿宋"/>
          <w:sz w:val="28"/>
          <w:szCs w:val="28"/>
          <w:lang w:val="en-US" w:eastAsia="zh-CN"/>
        </w:rPr>
        <w:t>35</w:t>
      </w:r>
      <w:r>
        <w:rPr>
          <w:rFonts w:hint="eastAsia" w:ascii="仿宋" w:hAnsi="仿宋" w:eastAsia="仿宋" w:cs="仿宋"/>
          <w:sz w:val="28"/>
          <w:szCs w:val="28"/>
        </w:rPr>
        <w:t>万元），</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并在赔偿限额之内计算</w:t>
      </w:r>
      <w:r>
        <w:rPr>
          <w:rFonts w:hint="eastAsia" w:ascii="仿宋" w:hAnsi="仿宋" w:eastAsia="仿宋" w:cs="仿宋"/>
          <w:sz w:val="28"/>
          <w:szCs w:val="28"/>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rPr>
        <w:t>免赔额：每次事故免赔额（率）为2000元10%，两者以高为准；</w:t>
      </w:r>
      <w:r>
        <w:rPr>
          <w:rFonts w:hint="eastAsia" w:ascii="仿宋" w:hAnsi="仿宋" w:eastAsia="仿宋" w:cs="仿宋"/>
          <w:sz w:val="28"/>
          <w:szCs w:val="28"/>
          <w:lang w:val="en-US" w:eastAsia="zh-CN"/>
        </w:rPr>
        <w:t>7</w:t>
      </w:r>
      <w:r>
        <w:rPr>
          <w:rFonts w:hint="eastAsia" w:ascii="仿宋" w:hAnsi="仿宋" w:eastAsia="仿宋" w:cs="仿宋"/>
          <w:sz w:val="28"/>
          <w:szCs w:val="28"/>
        </w:rPr>
        <w:t>、保险期限：一年（以保单实际生效日期为准），首年投保不设追溯期；</w:t>
      </w:r>
      <w:r>
        <w:rPr>
          <w:rFonts w:hint="eastAsia" w:ascii="仿宋" w:hAnsi="仿宋" w:eastAsia="仿宋" w:cs="仿宋"/>
          <w:sz w:val="28"/>
          <w:szCs w:val="28"/>
          <w:lang w:eastAsia="zh-CN"/>
        </w:rPr>
        <w:t>　</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如连续投保追溯期最长设置为36个月。</w:t>
      </w:r>
    </w:p>
    <w:p>
      <w:pPr>
        <w:spacing w:after="156" w:afterLines="50" w:line="360" w:lineRule="auto"/>
        <w:rPr>
          <w:rFonts w:hint="eastAsia" w:ascii="宋体" w:hAnsi="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DCFD43"/>
    <w:multiLevelType w:val="singleLevel"/>
    <w:tmpl w:val="ADDCFD43"/>
    <w:lvl w:ilvl="0" w:tentative="0">
      <w:start w:val="1"/>
      <w:numFmt w:val="decimal"/>
      <w:suff w:val="nothing"/>
      <w:lvlText w:val="%1、"/>
      <w:lvlJc w:val="left"/>
    </w:lvl>
  </w:abstractNum>
  <w:abstractNum w:abstractNumId="1">
    <w:nsid w:val="B20109A0"/>
    <w:multiLevelType w:val="singleLevel"/>
    <w:tmpl w:val="B20109A0"/>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YzI4MmYyMTgwNzUzZTBjNTlkM2U3ZGEzMmRlYTkifQ=="/>
  </w:docVars>
  <w:rsids>
    <w:rsidRoot w:val="0E374632"/>
    <w:rsid w:val="06CB4FA1"/>
    <w:rsid w:val="0E374632"/>
    <w:rsid w:val="294378F8"/>
    <w:rsid w:val="2A2878AC"/>
    <w:rsid w:val="2C421ABE"/>
    <w:rsid w:val="2D687FBF"/>
    <w:rsid w:val="34983880"/>
    <w:rsid w:val="39A22E12"/>
    <w:rsid w:val="490F2CCF"/>
    <w:rsid w:val="4C3A6B73"/>
    <w:rsid w:val="62456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2023-12-12T03:27:00Z</dcterms:created>
  <dc:creator>赵东宁</dc:creator>
  <cp:lastModifiedBy>赵东宁</cp:lastModifiedBy>
  <dcterms:modified xsi:type="dcterms:W3CDTF">2023-12-13T01:55:17Z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B17D8B61EDC54155A3331759AEFC6ABA_11</vt:lpwstr>
  </property>
</Properties>
</file>